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решению</w:t>
      </w:r>
      <w:r>
        <w:rPr>
          <w:rFonts w:ascii="Times New Roman" w:hAnsi="Times New Roman"/>
          <w:sz w:val="24"/>
        </w:rPr>
        <w:t xml:space="preserve">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9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28.04.</w:t>
      </w:r>
      <w:r>
        <w:rPr>
          <w:rFonts w:ascii="Times New Roman" w:hAnsi="Times New Roman"/>
          <w:sz w:val="24"/>
        </w:rPr>
        <w:t>2023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/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</w:t>
      </w:r>
      <w:r>
        <w:rPr>
          <w:rFonts w:ascii="Times New Roman" w:hAnsi="Times New Roman"/>
          <w:b w:val="1"/>
          <w:sz w:val="28"/>
        </w:rPr>
        <w:t>ПОСЕЛЕНИЯ АЗОВСКОГО РАЙОНА ПО РАЗДЕЛАМ И ПОДРАЗДЕЛАМ КЛАССИФИКАЦИИ РАСХОДОВ БЮДЖЕТОВ ЗА 20</w:t>
      </w:r>
      <w:r>
        <w:rPr>
          <w:rFonts w:ascii="Times New Roman" w:hAnsi="Times New Roman"/>
          <w:b w:val="1"/>
          <w:sz w:val="28"/>
        </w:rPr>
        <w:t xml:space="preserve">22 </w:t>
      </w:r>
      <w:r>
        <w:rPr>
          <w:rFonts w:ascii="Times New Roman" w:hAnsi="Times New Roman"/>
          <w:b w:val="1"/>
          <w:sz w:val="28"/>
        </w:rPr>
        <w:t>ГОД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6999"/>
        <w:gridCol w:w="618"/>
        <w:gridCol w:w="570"/>
        <w:gridCol w:w="1486"/>
      </w:tblGrid>
      <w:tr>
        <w:trPr>
          <w:trHeight w:hRule="atLeast" w:val="20"/>
          <w:tblHeader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Наименование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РЗ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ПЗ</w:t>
            </w: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7661,7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7266,5</w:t>
            </w:r>
          </w:p>
        </w:tc>
      </w:tr>
      <w:tr>
        <w:trPr>
          <w:trHeight w:hRule="atLeast" w:val="362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Перечисления другим бюджетам бюджетной системы РФ (в части переданных полномочий по КСП)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06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62,8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Другие 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332,4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Мобилизационная и вневойсковая подготовка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безопасность и правоохранительная деятельность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экономика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 Дорожное хозяйство (дорожные фонды)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09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300,0</w:t>
            </w:r>
          </w:p>
        </w:tc>
      </w:tr>
      <w:tr>
        <w:trPr>
          <w:trHeight w:hRule="atLeast" w:val="208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Жилищно-коммунальное хозяйство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1809,1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Благоустройство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1809,1</w:t>
            </w:r>
          </w:p>
        </w:tc>
      </w:tr>
      <w:tr>
        <w:trPr>
          <w:trHeight w:hRule="atLeast" w:val="92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Образование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36,1</w:t>
            </w:r>
          </w:p>
        </w:tc>
      </w:tr>
      <w:tr>
        <w:trPr>
          <w:trHeight w:hRule="atLeast" w:val="376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36,1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Культура, кинематография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4384,3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4384,3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Социальная политика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Пенсионное обеспечение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Физическая культура и спорт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Физическая культура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11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ИТОГО: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14563,7</w:t>
            </w:r>
          </w:p>
        </w:tc>
      </w:tr>
    </w:tbl>
    <w:p w14:paraId="6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6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2023-05-17T12:03:25Z</dcterms:modified>
</cp:coreProperties>
</file>