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17.08</w:t>
      </w:r>
      <w:r>
        <w:rPr>
          <w:b w:val="0"/>
          <w:sz w:val="28"/>
        </w:rPr>
        <w:t>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 </w:t>
      </w:r>
      <w:r>
        <w:rPr>
          <w:b w:val="0"/>
          <w:sz w:val="28"/>
        </w:rPr>
        <w:t>№164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х. Обуховка</w:t>
      </w:r>
      <w:r>
        <w:rPr>
          <w:b w:val="0"/>
          <w:sz w:val="28"/>
        </w:rPr>
        <w:t xml:space="preserve">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</w:t>
      </w:r>
      <w:r>
        <w:rPr>
          <w:b w:val="1"/>
          <w:sz w:val="28"/>
        </w:rPr>
        <w:t>Управление муниц</w:t>
      </w:r>
      <w:r>
        <w:rPr>
          <w:b w:val="1"/>
          <w:sz w:val="28"/>
        </w:rPr>
        <w:t>и</w:t>
      </w:r>
      <w:r>
        <w:rPr>
          <w:b w:val="1"/>
          <w:sz w:val="28"/>
        </w:rPr>
        <w:t>пал</w:t>
      </w:r>
      <w:r>
        <w:rPr>
          <w:b w:val="1"/>
          <w:sz w:val="28"/>
        </w:rPr>
        <w:t>ь</w:t>
      </w:r>
      <w:r>
        <w:rPr>
          <w:b w:val="1"/>
          <w:sz w:val="28"/>
        </w:rPr>
        <w:t>ными финансами и создание условий для эффективного управления муниципальными ф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нансами»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1 полугодие </w:t>
      </w:r>
      <w:r>
        <w:rPr>
          <w:b w:val="1"/>
          <w:sz w:val="28"/>
        </w:rPr>
        <w:t xml:space="preserve"> 2023</w:t>
      </w:r>
      <w:r>
        <w:rPr>
          <w:b w:val="1"/>
          <w:sz w:val="28"/>
        </w:rPr>
        <w:t xml:space="preserve"> года</w:t>
      </w:r>
    </w:p>
    <w:p w14:paraId="0A000000">
      <w:pPr>
        <w:pStyle w:val="Style_5"/>
        <w:widowControl w:val="1"/>
        <w:ind/>
        <w:jc w:val="both"/>
        <w:rPr>
          <w:sz w:val="28"/>
        </w:rPr>
      </w:pPr>
    </w:p>
    <w:p w14:paraId="0B000000">
      <w:pPr>
        <w:ind/>
        <w:jc w:val="both"/>
        <w:rPr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  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C000000">
      <w:pPr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</w:t>
      </w:r>
      <w:r>
        <w:rPr>
          <w:b w:val="1"/>
          <w:sz w:val="28"/>
        </w:rPr>
        <w:t>остановляет</w:t>
      </w:r>
      <w:r>
        <w:rPr>
          <w:b w:val="1"/>
          <w:sz w:val="28"/>
        </w:rPr>
        <w:t xml:space="preserve"> :</w:t>
      </w:r>
    </w:p>
    <w:p w14:paraId="0D000000">
      <w:pPr>
        <w:ind w:firstLine="567" w:left="0"/>
        <w:jc w:val="both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финансами» за 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>В.Н. Тимофеев</w:t>
      </w:r>
    </w:p>
    <w:p w14:paraId="15000000">
      <w:pPr>
        <w:sectPr>
          <w:footerReference r:id="rId2" w:type="default"/>
          <w:pgSz w:h="16840" w:orient="portrait" w:w="11907"/>
          <w:pgMar w:bottom="1134" w:footer="720" w:gutter="0" w:header="720" w:left="1701" w:right="567" w:top="1134"/>
        </w:sectPr>
      </w:pP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17.08.2023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>164</w:t>
      </w:r>
    </w:p>
    <w:p w14:paraId="19000000">
      <w:pPr>
        <w:ind w:firstLine="0" w:left="8505"/>
        <w:jc w:val="center"/>
        <w:rPr>
          <w:sz w:val="26"/>
        </w:rPr>
      </w:pPr>
    </w:p>
    <w:p w14:paraId="1A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B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</w:t>
      </w:r>
      <w:r>
        <w:rPr>
          <w:sz w:val="28"/>
        </w:rPr>
        <w:t>н</w:t>
      </w:r>
      <w:r>
        <w:rPr>
          <w:sz w:val="28"/>
        </w:rPr>
        <w:t>сами»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D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6"/>
        <w:gridCol w:w="3126"/>
        <w:gridCol w:w="1494"/>
        <w:gridCol w:w="2038"/>
        <w:gridCol w:w="1494"/>
        <w:gridCol w:w="1222"/>
        <w:gridCol w:w="1766"/>
        <w:gridCol w:w="1087"/>
        <w:gridCol w:w="1087"/>
        <w:gridCol w:w="1359"/>
      </w:tblGrid>
      <w:tr>
        <w:trPr>
          <w:trHeight w:hRule="atLeast" w:val="854"/>
          <w:tblHeader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0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олгосрочное финансовое планиров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ценка эффективности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говых льгот,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</w:t>
            </w:r>
            <w:r>
              <w:rPr>
                <w:sz w:val="24"/>
              </w:rPr>
              <w:t>решениями представительн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органа Елизаветинского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 оценки </w:t>
            </w:r>
            <w:r>
              <w:rPr>
                <w:sz w:val="24"/>
              </w:rPr>
              <w:t>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логовых льгот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342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 xml:space="preserve">ормирование расходов 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стного </w:t>
            </w:r>
            <w:r>
              <w:rPr>
                <w:color w:val="000000"/>
                <w:sz w:val="24"/>
              </w:rPr>
              <w:t>бюджета в соответс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вии с  </w:t>
            </w:r>
            <w:r>
              <w:rPr>
                <w:color w:val="000000"/>
                <w:sz w:val="24"/>
              </w:rPr>
              <w:t>муниципальным</w:t>
            </w:r>
            <w:r>
              <w:rPr>
                <w:color w:val="000000"/>
                <w:sz w:val="24"/>
              </w:rPr>
              <w:t>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мами</w:t>
            </w:r>
          </w:p>
          <w:p w14:paraId="44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</w:t>
            </w:r>
            <w:r>
              <w:rPr>
                <w:sz w:val="24"/>
              </w:rPr>
              <w:t>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ормативно-методическое обеспечение и организация бюджетного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азработка и совершенств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нормативной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вовой базы по организации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 w:firstLine="67" w:left="0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обходимости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733"/>
          <w:hidden w:val="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</w:t>
            </w:r>
            <w:r>
              <w:rPr>
                <w:sz w:val="24"/>
              </w:rPr>
              <w:t xml:space="preserve"> резервного фонда </w:t>
            </w:r>
            <w:r>
              <w:rPr>
                <w:sz w:val="24"/>
              </w:rPr>
              <w:t>Администрации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Резервный фонд поселения </w:t>
            </w:r>
            <w:r>
              <w:rPr>
                <w:sz w:val="24"/>
              </w:rPr>
              <w:t>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в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 объеме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гласно заключе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рам, своевременная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лата труда 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числений  на нее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2920,7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ов</w:t>
            </w:r>
          </w:p>
        </w:tc>
      </w:tr>
      <w:tr>
        <w:trPr>
          <w:trHeight w:hRule="atLeast" w:val="26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6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         Подпрограмма 3 у</w:t>
            </w:r>
            <w:r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проведения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ной политики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 xml:space="preserve"> заимствований </w:t>
            </w:r>
            <w:r>
              <w:rPr>
                <w:sz w:val="24"/>
              </w:rPr>
              <w:t>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 сельского поселения </w:t>
            </w:r>
            <w:r>
              <w:rPr>
                <w:sz w:val="24"/>
              </w:rPr>
              <w:t>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Бюджетным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дексом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на о</w:t>
            </w:r>
            <w:r>
              <w:rPr>
                <w:sz w:val="24"/>
              </w:rPr>
              <w:t>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ного долга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rPr>
                <w:sz w:val="24"/>
              </w:rPr>
            </w:pP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2920,7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429,0</w:t>
            </w:r>
          </w:p>
        </w:tc>
      </w:tr>
    </w:tbl>
    <w:p w14:paraId="8D000000">
      <w:pPr>
        <w:widowControl w:val="0"/>
        <w:ind/>
        <w:jc w:val="right"/>
        <w:outlineLvl w:val="2"/>
        <w:rPr>
          <w:sz w:val="24"/>
        </w:rPr>
      </w:pPr>
    </w:p>
    <w:p w14:paraId="8E000000">
      <w:pPr>
        <w:widowControl w:val="0"/>
        <w:ind/>
        <w:jc w:val="both"/>
        <w:rPr>
          <w:sz w:val="24"/>
        </w:rPr>
      </w:pPr>
      <w:bookmarkStart w:id="1" w:name="Par676"/>
      <w:bookmarkEnd w:id="1"/>
    </w:p>
    <w:p w14:paraId="8F000000">
      <w:pPr>
        <w:widowControl w:val="0"/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1"/>
    <w:link w:val="Style_14_ch"/>
    <w:rPr>
      <w:rFonts w:ascii="Courier New" w:hAnsi="Courier New"/>
      <w:color w:val="000000"/>
      <w:spacing w:val="0"/>
      <w:sz w:val="18"/>
      <w:highlight w:val="white"/>
    </w:rPr>
  </w:style>
  <w:style w:styleId="Style_14_ch" w:type="character">
    <w:name w:val="Основной текст1"/>
    <w:link w:val="Style_14"/>
    <w:rPr>
      <w:rFonts w:ascii="Courier New" w:hAnsi="Courier New"/>
      <w:color w:val="000000"/>
      <w:spacing w:val="0"/>
      <w:sz w:val="18"/>
      <w:highlight w:val="white"/>
    </w:rPr>
  </w:style>
  <w:style w:styleId="Style_15" w:type="paragraph">
    <w:name w:val="Знак1"/>
    <w:basedOn w:val="Style_9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9_ch"/>
    <w:link w:val="Style_15"/>
    <w:rPr>
      <w:rFonts w:ascii="Tahoma" w:hAnsi="Tahoma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Normal (Web)"/>
    <w:basedOn w:val="Style_9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9_ch"/>
    <w:link w:val="Style_17"/>
    <w:rPr>
      <w:sz w:val="24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8" w:type="paragraph">
    <w:name w:val="Font Style23"/>
    <w:link w:val="Style_18_ch"/>
    <w:rPr>
      <w:rFonts w:ascii="Times New Roman" w:hAnsi="Times New Roman"/>
      <w:sz w:val="22"/>
    </w:rPr>
  </w:style>
  <w:style w:styleId="Style_18_ch" w:type="character">
    <w:name w:val="Font Style23"/>
    <w:link w:val="Style_18"/>
    <w:rPr>
      <w:rFonts w:ascii="Times New Roman" w:hAnsi="Times New Roman"/>
      <w:sz w:val="22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20" w:type="paragraph">
    <w:name w:val="Нормальный (таблица)"/>
    <w:basedOn w:val="Style_9"/>
    <w:next w:val="Style_9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9_ch"/>
    <w:link w:val="Style_20"/>
    <w:rPr>
      <w:rFonts w:ascii="Arial" w:hAnsi="Arial"/>
      <w:sz w:val="24"/>
    </w:rPr>
  </w:style>
  <w:style w:styleId="Style_21" w:type="paragraph">
    <w:name w:val="Postan"/>
    <w:basedOn w:val="Style_9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9_ch"/>
    <w:link w:val="Style_21"/>
    <w:rPr>
      <w:sz w:val="28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9"/>
    <w:next w:val="Style_9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9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Body text"/>
    <w:link w:val="Style_26_ch"/>
    <w:rPr>
      <w:rFonts w:ascii="Book Antiqua" w:hAnsi="Book Antiqua"/>
      <w:color w:val="000000"/>
      <w:spacing w:val="0"/>
      <w:sz w:val="29"/>
      <w:u w:val="none"/>
    </w:rPr>
  </w:style>
  <w:style w:styleId="Style_26_ch" w:type="character">
    <w:name w:val="Body text"/>
    <w:link w:val="Style_26"/>
    <w:rPr>
      <w:rFonts w:ascii="Book Antiqua" w:hAnsi="Book Antiqua"/>
      <w:color w:val="000000"/>
      <w:spacing w:val="0"/>
      <w:sz w:val="29"/>
      <w:u w:val="none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Основной текст5"/>
    <w:basedOn w:val="Style_9"/>
    <w:link w:val="Style_28_ch"/>
    <w:pPr>
      <w:widowControl w:val="0"/>
      <w:spacing w:line="202" w:lineRule="exact"/>
      <w:ind/>
    </w:pPr>
    <w:rPr>
      <w:sz w:val="18"/>
    </w:rPr>
  </w:style>
  <w:style w:styleId="Style_28_ch" w:type="character">
    <w:name w:val="Основной текст5"/>
    <w:basedOn w:val="Style_9_ch"/>
    <w:link w:val="Style_28"/>
    <w:rPr>
      <w:sz w:val="18"/>
    </w:rPr>
  </w:style>
  <w:style w:styleId="Style_29" w:type="paragraph">
    <w:name w:val="List Paragraph"/>
    <w:basedOn w:val="Style_9"/>
    <w:link w:val="Style_29_ch"/>
    <w:pPr>
      <w:ind w:firstLine="0" w:left="720"/>
    </w:pPr>
  </w:style>
  <w:style w:styleId="Style_29_ch" w:type="character">
    <w:name w:val="List Paragraph"/>
    <w:basedOn w:val="Style_9_ch"/>
    <w:link w:val="Style_29"/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Знак11"/>
    <w:basedOn w:val="Style_9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1"/>
    <w:basedOn w:val="Style_9_ch"/>
    <w:link w:val="Style_37"/>
    <w:rPr>
      <w:rFonts w:ascii="Tahoma" w:hAnsi="Tahoma"/>
    </w:rPr>
  </w:style>
  <w:style w:styleId="Style_38" w:type="paragraph">
    <w:name w:val="header"/>
    <w:basedOn w:val="Style_9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header"/>
    <w:basedOn w:val="Style_9_ch"/>
    <w:link w:val="Style_38"/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0" w:type="paragraph">
    <w:name w:val="Body Text"/>
    <w:basedOn w:val="Style_9"/>
    <w:link w:val="Style_40_ch"/>
  </w:style>
  <w:style w:styleId="Style_40_ch" w:type="character">
    <w:name w:val="Body Text"/>
    <w:basedOn w:val="Style_9_ch"/>
    <w:link w:val="Style_40"/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Indent"/>
    <w:basedOn w:val="Style_9"/>
    <w:link w:val="Style_42_ch"/>
    <w:pPr>
      <w:ind w:firstLine="709" w:left="0"/>
      <w:jc w:val="both"/>
    </w:pPr>
  </w:style>
  <w:style w:styleId="Style_42_ch" w:type="character">
    <w:name w:val="Body Text Indent"/>
    <w:basedOn w:val="Style_9_ch"/>
    <w:link w:val="Style_42"/>
  </w:style>
  <w:style w:styleId="Style_43" w:type="paragraph">
    <w:name w:val="Отчетный"/>
    <w:basedOn w:val="Style_9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9_ch"/>
    <w:link w:val="Style_43"/>
    <w:rPr>
      <w:sz w:val="26"/>
    </w:rPr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5" w:type="paragraph">
    <w:name w:val="Body Text Indent 3"/>
    <w:basedOn w:val="Style_9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9_ch"/>
    <w:link w:val="Style_45"/>
    <w:rPr>
      <w:sz w:val="1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2023-08-23T11:14:33Z</dcterms:modified>
</cp:coreProperties>
</file>