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29.12</w:t>
      </w:r>
      <w:r>
        <w:rPr>
          <w:b w:val="0"/>
          <w:sz w:val="28"/>
        </w:rPr>
        <w:t>.2023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</w:t>
      </w:r>
      <w:r>
        <w:rPr>
          <w:b w:val="0"/>
          <w:sz w:val="28"/>
        </w:rPr>
        <w:t>№235</w:t>
      </w:r>
      <w:r>
        <w:rPr>
          <w:b w:val="0"/>
          <w:sz w:val="28"/>
        </w:rPr>
        <w:t xml:space="preserve">                      </w:t>
      </w:r>
      <w:r>
        <w:rPr>
          <w:b w:val="0"/>
          <w:sz w:val="28"/>
        </w:rPr>
        <w:t xml:space="preserve">                         </w:t>
      </w:r>
      <w:r>
        <w:rPr>
          <w:b w:val="0"/>
          <w:sz w:val="28"/>
        </w:rPr>
        <w:t xml:space="preserve">                         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>х. Обуховка</w:t>
      </w:r>
      <w:r>
        <w:rPr>
          <w:b w:val="0"/>
          <w:sz w:val="28"/>
        </w:rPr>
        <w:t xml:space="preserve">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</w:t>
      </w:r>
      <w:r>
        <w:rPr>
          <w:b w:val="1"/>
          <w:sz w:val="28"/>
        </w:rPr>
        <w:t>Управление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</w:t>
      </w:r>
      <w:r>
        <w:rPr>
          <w:b w:val="1"/>
          <w:sz w:val="28"/>
        </w:rPr>
        <w:t>ь</w:t>
      </w:r>
      <w:r>
        <w:rPr>
          <w:b w:val="1"/>
          <w:sz w:val="28"/>
        </w:rPr>
        <w:t>ными финансами и создание условий для эффективного управления муниципальными ф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нансами»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  </w:t>
      </w:r>
      <w:r>
        <w:rPr>
          <w:b w:val="1"/>
          <w:sz w:val="28"/>
        </w:rPr>
        <w:t xml:space="preserve"> 2023</w:t>
      </w:r>
      <w:r>
        <w:rPr>
          <w:b w:val="1"/>
          <w:sz w:val="28"/>
        </w:rPr>
        <w:t xml:space="preserve"> года</w:t>
      </w:r>
    </w:p>
    <w:p w14:paraId="0A000000">
      <w:pPr>
        <w:pStyle w:val="Style_5"/>
        <w:widowControl w:val="1"/>
        <w:ind/>
        <w:jc w:val="both"/>
        <w:rPr>
          <w:sz w:val="28"/>
        </w:rPr>
      </w:pPr>
    </w:p>
    <w:p w14:paraId="0B000000">
      <w:pPr>
        <w:ind/>
        <w:jc w:val="both"/>
        <w:rPr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  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26.12.2023 №24 «О бюджете Елизаветинского сельского поселения Азовского района на 2023 год и плановый период 2024 и 2025 годов» (редакции от 26.12.2023 №26)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C000000">
      <w:pPr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sz w:val="28"/>
        </w:rPr>
        <w:t>остановляет</w:t>
      </w:r>
      <w:r>
        <w:rPr>
          <w:b w:val="1"/>
          <w:sz w:val="28"/>
        </w:rPr>
        <w:t xml:space="preserve"> :</w:t>
      </w:r>
    </w:p>
    <w:p w14:paraId="0D000000">
      <w:pPr>
        <w:ind w:firstLine="567" w:left="0"/>
        <w:jc w:val="both"/>
        <w:rPr>
          <w:sz w:val="28"/>
        </w:rPr>
      </w:pPr>
    </w:p>
    <w:p w14:paraId="0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Управление муниципальными финансами и создание условий для эффективного управления муниципальными финансами» за 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>В.Н. Тимофеев</w:t>
      </w:r>
    </w:p>
    <w:p w14:paraId="15000000">
      <w:pPr>
        <w:sectPr>
          <w:footerReference r:id="rId2" w:type="default"/>
          <w:pgSz w:h="16840" w:orient="portrait" w:w="11907"/>
          <w:pgMar w:bottom="1134" w:footer="720" w:gutter="0" w:header="720" w:left="1701" w:right="567" w:top="1134"/>
        </w:sectPr>
      </w:pP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29.12.2023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>235</w:t>
      </w:r>
    </w:p>
    <w:p w14:paraId="19000000">
      <w:pPr>
        <w:ind w:firstLine="0" w:left="8505"/>
        <w:jc w:val="center"/>
        <w:rPr>
          <w:sz w:val="26"/>
        </w:rPr>
      </w:pPr>
    </w:p>
    <w:p w14:paraId="1A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B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C000000">
      <w:pPr>
        <w:ind w:right="-29"/>
        <w:jc w:val="center"/>
        <w:rPr>
          <w:sz w:val="28"/>
        </w:rPr>
      </w:pPr>
      <w:r>
        <w:rPr>
          <w:sz w:val="28"/>
        </w:rPr>
        <w:t>Управление муниципальными финансами и создание условий для эффективного управления муниципальными фина</w:t>
      </w:r>
      <w:r>
        <w:rPr>
          <w:sz w:val="28"/>
        </w:rPr>
        <w:t>н</w:t>
      </w:r>
      <w:r>
        <w:rPr>
          <w:sz w:val="28"/>
        </w:rPr>
        <w:t>сами»</w:t>
      </w:r>
      <w:r>
        <w:rPr>
          <w:sz w:val="28"/>
        </w:rPr>
        <w:t xml:space="preserve"> за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D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6"/>
        <w:gridCol w:w="3126"/>
        <w:gridCol w:w="1494"/>
        <w:gridCol w:w="2038"/>
        <w:gridCol w:w="1494"/>
        <w:gridCol w:w="1222"/>
        <w:gridCol w:w="1766"/>
        <w:gridCol w:w="1087"/>
        <w:gridCol w:w="1087"/>
        <w:gridCol w:w="1359"/>
      </w:tblGrid>
      <w:tr>
        <w:trPr>
          <w:trHeight w:hRule="atLeast" w:val="854"/>
          <w:tblHeader/>
        </w:trPr>
        <w:tc>
          <w:tcPr>
            <w:tcW w:type="dxa" w:w="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0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0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7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Подпрограмма 1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олгосрочное финансовое планиров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ценка эффективности нал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говых льгот, 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ленных </w:t>
            </w:r>
            <w:r>
              <w:rPr>
                <w:sz w:val="24"/>
              </w:rPr>
              <w:t>решениями представительн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органа Елизаветинского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Подготовлен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 оценки </w:t>
            </w:r>
            <w:r>
              <w:rPr>
                <w:sz w:val="24"/>
              </w:rPr>
              <w:t>эффекти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ности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логовых льгот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342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>
              <w:rPr>
                <w:color w:val="000000"/>
                <w:sz w:val="24"/>
              </w:rPr>
              <w:t xml:space="preserve">ормирование расходов 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 xml:space="preserve">стного </w:t>
            </w:r>
            <w:r>
              <w:rPr>
                <w:color w:val="000000"/>
                <w:sz w:val="24"/>
              </w:rPr>
              <w:t>бюджета в соответс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вии с  </w:t>
            </w:r>
            <w:r>
              <w:rPr>
                <w:color w:val="000000"/>
                <w:sz w:val="24"/>
              </w:rPr>
              <w:t>муниципальным</w:t>
            </w:r>
            <w:r>
              <w:rPr>
                <w:color w:val="000000"/>
                <w:sz w:val="24"/>
              </w:rPr>
              <w:t>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гра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мами</w:t>
            </w:r>
          </w:p>
          <w:p w14:paraId="44000000">
            <w:pPr>
              <w:pStyle w:val="Style_8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</w:t>
            </w:r>
            <w:r>
              <w:rPr>
                <w:sz w:val="24"/>
              </w:rPr>
              <w:t>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7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Подпрограмма 2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ормативно-методическое обеспечение и организация бюджетного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азработка и совершенств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нормативной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вовой базы по организации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 w:firstLine="67" w:left="0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обходимости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733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2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ассигнований</w:t>
            </w:r>
            <w:r>
              <w:rPr>
                <w:sz w:val="24"/>
              </w:rPr>
              <w:t xml:space="preserve"> резервного фонда </w:t>
            </w:r>
            <w:r>
              <w:rPr>
                <w:sz w:val="24"/>
              </w:rPr>
              <w:t>Администрации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Резервный фонд поселения </w:t>
            </w:r>
            <w:r>
              <w:rPr>
                <w:sz w:val="24"/>
              </w:rPr>
              <w:t>запл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нирован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3</w:t>
            </w: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 сельского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в 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ном объеме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гласно заключе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рам, своевременная 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лата труда 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числений  на нее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8320,1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8320,1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8160,0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z w:val="24"/>
              </w:rPr>
              <w:t>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ов</w:t>
            </w:r>
          </w:p>
        </w:tc>
      </w:tr>
      <w:tr>
        <w:trPr>
          <w:trHeight w:hRule="atLeast" w:val="269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67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         Подпрограмма 3 у</w:t>
            </w:r>
            <w:r>
              <w:rPr>
                <w:sz w:val="24"/>
              </w:rPr>
              <w:t xml:space="preserve">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проведения 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ной политики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заимствований </w:t>
            </w:r>
            <w:r>
              <w:rPr>
                <w:sz w:val="24"/>
              </w:rPr>
              <w:t>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</w:t>
            </w:r>
            <w:r>
              <w:rPr>
                <w:sz w:val="24"/>
              </w:rPr>
              <w:t xml:space="preserve"> долгом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 сельского поселения </w:t>
            </w:r>
            <w:r>
              <w:rPr>
                <w:sz w:val="24"/>
              </w:rPr>
              <w:t>в соо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ветствии с Бюджетным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дексом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ассигнований на о</w:t>
            </w:r>
            <w:r>
              <w:rPr>
                <w:sz w:val="24"/>
              </w:rPr>
              <w:t>бслужив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ного долга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селения 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8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8"/>
              <w:rPr>
                <w:sz w:val="24"/>
              </w:rPr>
            </w:pP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8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8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8"/>
              <w:rPr>
                <w:sz w:val="24"/>
              </w:rPr>
            </w:pP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8320,1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8320,1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8160,0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748,1</w:t>
            </w:r>
          </w:p>
        </w:tc>
      </w:tr>
    </w:tbl>
    <w:p w14:paraId="8D000000">
      <w:pPr>
        <w:widowControl w:val="0"/>
        <w:ind/>
        <w:jc w:val="right"/>
        <w:outlineLvl w:val="2"/>
        <w:rPr>
          <w:sz w:val="24"/>
        </w:rPr>
      </w:pPr>
    </w:p>
    <w:p w14:paraId="8E000000">
      <w:pPr>
        <w:widowControl w:val="0"/>
        <w:ind/>
        <w:jc w:val="both"/>
        <w:rPr>
          <w:sz w:val="24"/>
        </w:rPr>
      </w:pPr>
      <w:bookmarkStart w:id="1" w:name="Par676"/>
      <w:bookmarkEnd w:id="1"/>
    </w:p>
    <w:p w14:paraId="8F000000">
      <w:pPr>
        <w:widowControl w:val="0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Елизаветинского сельского поселения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Нормальный (таблица)"/>
    <w:basedOn w:val="Style_9"/>
    <w:next w:val="Style_9"/>
    <w:link w:val="Style_12_ch"/>
    <w:pPr>
      <w:widowControl w:val="0"/>
      <w:ind/>
      <w:jc w:val="both"/>
    </w:pPr>
    <w:rPr>
      <w:rFonts w:ascii="Arial" w:hAnsi="Arial"/>
      <w:sz w:val="24"/>
    </w:rPr>
  </w:style>
  <w:style w:styleId="Style_12_ch" w:type="character">
    <w:name w:val="Нормальный (таблица)"/>
    <w:basedOn w:val="Style_9_ch"/>
    <w:link w:val="Style_12"/>
    <w:rPr>
      <w:rFonts w:ascii="Arial" w:hAnsi="Arial"/>
      <w:sz w:val="24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List Paragraph"/>
    <w:basedOn w:val="Style_9"/>
    <w:link w:val="Style_15_ch"/>
    <w:pPr>
      <w:ind w:firstLine="0" w:left="720"/>
    </w:pPr>
  </w:style>
  <w:style w:styleId="Style_15_ch" w:type="character">
    <w:name w:val="List Paragraph"/>
    <w:basedOn w:val="Style_9_ch"/>
    <w:link w:val="Style_15"/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9_ch"/>
    <w:link w:val="Style_16"/>
    <w:rPr>
      <w:rFonts w:ascii="Cambria" w:hAnsi="Cambria"/>
      <w:b w:val="1"/>
      <w:sz w:val="26"/>
    </w:rPr>
  </w:style>
  <w:style w:styleId="Style_17" w:type="paragraph">
    <w:name w:val="Знак11"/>
    <w:basedOn w:val="Style_9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1"/>
    <w:basedOn w:val="Style_9_ch"/>
    <w:link w:val="Style_17"/>
    <w:rPr>
      <w:rFonts w:ascii="Tahoma" w:hAnsi="Tahoma"/>
    </w:rPr>
  </w:style>
  <w:style w:styleId="Style_18" w:type="paragraph">
    <w:name w:val="Гипертекстовая ссылка"/>
    <w:link w:val="Style_18_ch"/>
    <w:rPr>
      <w:color w:val="000000"/>
      <w:sz w:val="26"/>
    </w:rPr>
  </w:style>
  <w:style w:styleId="Style_18_ch" w:type="character">
    <w:name w:val="Гипертекстовая ссылка"/>
    <w:link w:val="Style_18"/>
    <w:rPr>
      <w:color w:val="000000"/>
      <w:sz w:val="26"/>
    </w:rPr>
  </w:style>
  <w:style w:styleId="Style_19" w:type="paragraph">
    <w:name w:val="Normal (Web)"/>
    <w:basedOn w:val="Style_9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Normal (Web)"/>
    <w:basedOn w:val="Style_9_ch"/>
    <w:link w:val="Style_19"/>
    <w:rPr>
      <w:sz w:val="24"/>
    </w:rPr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Body Text Indent"/>
    <w:basedOn w:val="Style_9"/>
    <w:link w:val="Style_21_ch"/>
    <w:pPr>
      <w:ind w:firstLine="709" w:left="0"/>
      <w:jc w:val="both"/>
    </w:pPr>
  </w:style>
  <w:style w:styleId="Style_21_ch" w:type="character">
    <w:name w:val="Body Text Indent"/>
    <w:basedOn w:val="Style_9_ch"/>
    <w:link w:val="Style_21"/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3" w:type="paragraph">
    <w:name w:val="Body Text Indent 3"/>
    <w:basedOn w:val="Style_9"/>
    <w:link w:val="Style_23_ch"/>
    <w:pPr>
      <w:spacing w:after="120"/>
      <w:ind w:firstLine="0" w:left="283"/>
    </w:pPr>
    <w:rPr>
      <w:sz w:val="16"/>
    </w:rPr>
  </w:style>
  <w:style w:styleId="Style_23_ch" w:type="character">
    <w:name w:val="Body Text Indent 3"/>
    <w:basedOn w:val="Style_9_ch"/>
    <w:link w:val="Style_23"/>
    <w:rPr>
      <w:sz w:val="16"/>
    </w:rPr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Body text"/>
    <w:link w:val="Style_26_ch"/>
    <w:rPr>
      <w:rFonts w:ascii="Book Antiqua" w:hAnsi="Book Antiqua"/>
      <w:color w:val="000000"/>
      <w:spacing w:val="0"/>
      <w:sz w:val="29"/>
      <w:u w:val="none"/>
    </w:rPr>
  </w:style>
  <w:style w:styleId="Style_26_ch" w:type="character">
    <w:name w:val="Body text"/>
    <w:link w:val="Style_26"/>
    <w:rPr>
      <w:rFonts w:ascii="Book Antiqua" w:hAnsi="Book Antiqua"/>
      <w:color w:val="000000"/>
      <w:spacing w:val="0"/>
      <w:sz w:val="29"/>
      <w:u w:val="none"/>
    </w:rPr>
  </w:style>
  <w:style w:styleId="Style_27" w:type="paragraph">
    <w:name w:val="Основной текст1"/>
    <w:link w:val="Style_27_ch"/>
    <w:rPr>
      <w:rFonts w:ascii="Courier New" w:hAnsi="Courier New"/>
      <w:color w:val="000000"/>
      <w:spacing w:val="0"/>
      <w:sz w:val="18"/>
      <w:highlight w:val="white"/>
    </w:rPr>
  </w:style>
  <w:style w:styleId="Style_27_ch" w:type="character">
    <w:name w:val="Основной текст1"/>
    <w:link w:val="Style_27"/>
    <w:rPr>
      <w:rFonts w:ascii="Courier New" w:hAnsi="Courier New"/>
      <w:color w:val="000000"/>
      <w:spacing w:val="0"/>
      <w:sz w:val="18"/>
      <w:highlight w:val="white"/>
    </w:rPr>
  </w:style>
  <w:style w:styleId="Style_28" w:type="paragraph">
    <w:name w:val="heading 5"/>
    <w:next w:val="Style_9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Основной текст5"/>
    <w:basedOn w:val="Style_9"/>
    <w:link w:val="Style_29_ch"/>
    <w:pPr>
      <w:widowControl w:val="0"/>
      <w:spacing w:line="202" w:lineRule="exact"/>
      <w:ind/>
    </w:pPr>
    <w:rPr>
      <w:sz w:val="18"/>
    </w:rPr>
  </w:style>
  <w:style w:styleId="Style_29_ch" w:type="character">
    <w:name w:val="Основной текст5"/>
    <w:basedOn w:val="Style_9_ch"/>
    <w:link w:val="Style_29"/>
    <w:rPr>
      <w:sz w:val="18"/>
    </w:rPr>
  </w:style>
  <w:style w:styleId="Style_30" w:type="paragraph">
    <w:name w:val="heading 1"/>
    <w:basedOn w:val="Style_9"/>
    <w:next w:val="Style_9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9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Balloon Text"/>
    <w:basedOn w:val="Style_9"/>
    <w:link w:val="Style_31_ch"/>
    <w:rPr>
      <w:rFonts w:ascii="Tahoma" w:hAnsi="Tahoma"/>
      <w:sz w:val="16"/>
    </w:rPr>
  </w:style>
  <w:style w:styleId="Style_31_ch" w:type="character">
    <w:name w:val="Balloon Text"/>
    <w:basedOn w:val="Style_9_ch"/>
    <w:link w:val="Style_31"/>
    <w:rPr>
      <w:rFonts w:ascii="Tahoma" w:hAnsi="Tahoma"/>
      <w:sz w:val="16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9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Body Text"/>
    <w:basedOn w:val="Style_9"/>
    <w:link w:val="Style_35_ch"/>
  </w:style>
  <w:style w:styleId="Style_35_ch" w:type="character">
    <w:name w:val="Body Text"/>
    <w:basedOn w:val="Style_9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header"/>
    <w:basedOn w:val="Style_9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header"/>
    <w:basedOn w:val="Style_9_ch"/>
    <w:link w:val="Style_39"/>
  </w:style>
  <w:style w:styleId="Style_40" w:type="paragraph">
    <w:name w:val="ConsPlusNormal"/>
    <w:link w:val="Style_40_ch"/>
    <w:pPr>
      <w:widowControl w:val="0"/>
      <w:ind w:firstLine="720" w:left="0"/>
    </w:pPr>
    <w:rPr>
      <w:rFonts w:ascii="Arial" w:hAnsi="Arial"/>
    </w:rPr>
  </w:style>
  <w:style w:styleId="Style_40_ch" w:type="character">
    <w:name w:val="ConsPlusNormal"/>
    <w:link w:val="Style_40"/>
    <w:rPr>
      <w:rFonts w:ascii="Arial" w:hAnsi="Arial"/>
    </w:rPr>
  </w:style>
  <w:style w:styleId="Style_41" w:type="paragraph">
    <w:name w:val="Знак1"/>
    <w:basedOn w:val="Style_9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"/>
    <w:basedOn w:val="Style_9_ch"/>
    <w:link w:val="Style_41"/>
    <w:rPr>
      <w:rFonts w:ascii="Tahoma" w:hAnsi="Tahoma"/>
    </w:rPr>
  </w:style>
  <w:style w:styleId="Style_42" w:type="paragraph">
    <w:name w:val="Отчетный"/>
    <w:basedOn w:val="Style_9"/>
    <w:link w:val="Style_42_ch"/>
    <w:pPr>
      <w:spacing w:after="120" w:line="360" w:lineRule="auto"/>
      <w:ind w:firstLine="720" w:left="0"/>
      <w:jc w:val="both"/>
    </w:pPr>
    <w:rPr>
      <w:sz w:val="26"/>
    </w:rPr>
  </w:style>
  <w:style w:styleId="Style_42_ch" w:type="character">
    <w:name w:val="Отчетный"/>
    <w:basedOn w:val="Style_9_ch"/>
    <w:link w:val="Style_42"/>
    <w:rPr>
      <w:sz w:val="26"/>
    </w:rPr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Font Style23"/>
    <w:link w:val="Style_44_ch"/>
    <w:rPr>
      <w:rFonts w:ascii="Times New Roman" w:hAnsi="Times New Roman"/>
      <w:sz w:val="22"/>
    </w:rPr>
  </w:style>
  <w:style w:styleId="Style_44_ch" w:type="character">
    <w:name w:val="Font Style23"/>
    <w:link w:val="Style_44"/>
    <w:rPr>
      <w:rFonts w:ascii="Times New Roman" w:hAnsi="Times New Roman"/>
      <w:sz w:val="22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Postan"/>
    <w:basedOn w:val="Style_9"/>
    <w:link w:val="Style_46_ch"/>
    <w:pPr>
      <w:ind/>
      <w:jc w:val="center"/>
    </w:pPr>
    <w:rPr>
      <w:sz w:val="28"/>
    </w:rPr>
  </w:style>
  <w:style w:styleId="Style_46_ch" w:type="character">
    <w:name w:val="Postan"/>
    <w:basedOn w:val="Style_9_ch"/>
    <w:link w:val="Style_46"/>
    <w:rPr>
      <w:sz w:val="28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2024-08-31T08:11:44Z</dcterms:modified>
</cp:coreProperties>
</file>