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52" w:type="pct"/>
        <w:tblCellMar>
          <w:top w:w="15" w:type="dxa"/>
          <w:left w:w="15" w:type="dxa"/>
          <w:bottom w:w="15" w:type="dxa"/>
          <w:right w:w="15" w:type="dxa"/>
        </w:tblCellMar>
        <w:tblLook w:val="04A0" w:firstRow="1" w:lastRow="0" w:firstColumn="1" w:lastColumn="0" w:noHBand="0" w:noVBand="1"/>
      </w:tblPr>
      <w:tblGrid>
        <w:gridCol w:w="9639"/>
      </w:tblGrid>
      <w:tr w:rsidR="00416BC0" w:rsidRPr="00ED2906" w14:paraId="5D3DC108" w14:textId="77777777" w:rsidTr="00ED2906">
        <w:tc>
          <w:tcPr>
            <w:tcW w:w="5000" w:type="pct"/>
            <w:tcMar>
              <w:top w:w="0" w:type="dxa"/>
              <w:left w:w="0" w:type="dxa"/>
              <w:bottom w:w="0" w:type="dxa"/>
              <w:right w:w="0" w:type="dxa"/>
            </w:tcMar>
            <w:vAlign w:val="center"/>
            <w:hideMark/>
          </w:tcPr>
          <w:p w14:paraId="394F23F5" w14:textId="3C60877B" w:rsidR="00416BC0" w:rsidRPr="00ED2906" w:rsidRDefault="00ED2906" w:rsidP="00ED2906">
            <w:pPr>
              <w:spacing w:after="0" w:line="288" w:lineRule="atLeast"/>
              <w:jc w:val="center"/>
              <w:rPr>
                <w:rFonts w:ascii="Times New Roman" w:eastAsia="Times New Roman" w:hAnsi="Times New Roman" w:cs="Times New Roman"/>
                <w:b/>
                <w:bCs/>
                <w:sz w:val="26"/>
                <w:szCs w:val="26"/>
                <w:lang w:eastAsia="ru-RU"/>
              </w:rPr>
            </w:pPr>
            <w:r w:rsidRPr="00ED2906">
              <w:rPr>
                <w:rFonts w:ascii="Times New Roman" w:eastAsia="Times New Roman" w:hAnsi="Times New Roman" w:cs="Times New Roman"/>
                <w:b/>
                <w:bCs/>
                <w:sz w:val="26"/>
                <w:szCs w:val="26"/>
                <w:lang w:eastAsia="ru-RU"/>
              </w:rPr>
              <w:t>Каковы критерии и сроки установления групп инвалидности</w:t>
            </w:r>
          </w:p>
          <w:p w14:paraId="5FF9E7D7" w14:textId="77777777" w:rsidR="00ED2906" w:rsidRPr="00ED2906" w:rsidRDefault="00ED2906" w:rsidP="00ED2906">
            <w:pPr>
              <w:spacing w:after="0" w:line="240" w:lineRule="auto"/>
              <w:jc w:val="center"/>
              <w:rPr>
                <w:rFonts w:ascii="Times New Roman" w:eastAsia="Times New Roman" w:hAnsi="Times New Roman" w:cs="Times New Roman"/>
                <w:vanish/>
                <w:sz w:val="26"/>
                <w:szCs w:val="26"/>
                <w:lang w:eastAsia="ru-RU"/>
              </w:rPr>
            </w:pPr>
          </w:p>
          <w:p w14:paraId="6D30F605" w14:textId="77777777" w:rsidR="00ED2906" w:rsidRPr="00ED2906" w:rsidRDefault="00ED2906" w:rsidP="00ED2906">
            <w:pPr>
              <w:spacing w:after="0" w:line="240" w:lineRule="atLeast"/>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9639"/>
            </w:tblGrid>
            <w:tr w:rsidR="00ED2906" w:rsidRPr="00ED2906" w14:paraId="0E6D4C5F" w14:textId="77777777" w:rsidTr="00ED2906">
              <w:tc>
                <w:tcPr>
                  <w:tcW w:w="0" w:type="auto"/>
                  <w:tcMar>
                    <w:top w:w="0" w:type="dxa"/>
                    <w:left w:w="0" w:type="dxa"/>
                    <w:bottom w:w="0" w:type="dxa"/>
                    <w:right w:w="0" w:type="dxa"/>
                  </w:tcMar>
                  <w:vAlign w:val="center"/>
                  <w:hideMark/>
                </w:tcPr>
                <w:p w14:paraId="61E0F6EA" w14:textId="16F940DA" w:rsidR="00ED2906" w:rsidRPr="00ED2906" w:rsidRDefault="00ED2906" w:rsidP="00ED2906">
                  <w:pPr>
                    <w:spacing w:after="0" w:line="240" w:lineRule="auto"/>
                    <w:ind w:firstLine="709"/>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Группа инвалидности устанавливается в зависимости от степени выраженности стойких нарушений функций организма в результате заболеваний, последствий травм или дефектов. По общему правилу I группа инвалидности устанавливается на два года, II и III группа - на год. В отдельных случаях инвалидность может устанавливаться без указания срока переосвидетельствования</w:t>
                  </w:r>
                </w:p>
              </w:tc>
            </w:tr>
          </w:tbl>
          <w:p w14:paraId="1217986E" w14:textId="77777777" w:rsidR="00ED2906" w:rsidRPr="00ED2906" w:rsidRDefault="00ED2906" w:rsidP="00ED2906">
            <w:pPr>
              <w:spacing w:before="168" w:after="0" w:line="240" w:lineRule="auto"/>
              <w:ind w:firstLine="709"/>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Группа инвалидности устанавливается гражданину, признанному инвалидом, в зависимости от степени выраженности стойких расстройств функций организма, возникших в результате заболеваний, последствий травм или дефектов (п. 7 Правил, утв. Постановлением Правительства РФ от 05.04.2022 N 588). </w:t>
            </w:r>
          </w:p>
          <w:p w14:paraId="2E3F651E" w14:textId="77777777" w:rsidR="00ED2906" w:rsidRPr="00ED2906" w:rsidRDefault="00ED2906" w:rsidP="00ED2906">
            <w:pPr>
              <w:spacing w:before="168" w:after="0" w:line="240" w:lineRule="auto"/>
              <w:ind w:firstLine="709"/>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Для установления группы инвалидности необходимо последовательное определение сначала критерия установления инвалидности, а затем - критерия для установления соответствующей группы инвалидности (п. 10 Классификаций и критериев, утв. Приказом Минтруда России от 26.07.2024 N 374н). </w:t>
            </w:r>
          </w:p>
          <w:p w14:paraId="5116E95E" w14:textId="77777777" w:rsidR="00ED2906" w:rsidRPr="00ED2906" w:rsidRDefault="00ED2906" w:rsidP="00ED2906">
            <w:pPr>
              <w:spacing w:before="168" w:after="0" w:line="240" w:lineRule="auto"/>
              <w:ind w:firstLine="709"/>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Совершеннолетнему лицу устанавливается инвалидность в случае нарушения его здоровья со II - IV степенью выраженности стойких нарушений функций организма (на 40 - 100%) вследствие заболеваний, последствий травм или дефектов, если в результате этого одна из основных категорий его жизнедеятельности (например, способность к самообслуживанию) получила ограничения 2-й или 3-й степени либо две и более таких категорий получили ограничения 1-й степени (п. п. 5, 6, 9 Классификаций и критериев). </w:t>
            </w:r>
          </w:p>
          <w:p w14:paraId="7703A133" w14:textId="77777777" w:rsidR="00ED2906" w:rsidRPr="00ED2906" w:rsidRDefault="00ED2906" w:rsidP="00ED2906">
            <w:pPr>
              <w:spacing w:before="168" w:after="0" w:line="240" w:lineRule="auto"/>
              <w:ind w:firstLine="709"/>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При наличии нескольких стойких нарушений функций организма отдельно устанавливается степень выраженности каждого из них в процентах. Сначала устанавливается максимально выраженное в процентах нарушение. Затем определяется наличие или отсутствие влияния на него всех других имеющихся стойких нарушений. При наличии такого влияния суммарная оценка степени нарушения может быть выше максимально выраженного нарушения не более чем на 10% (п. 5 Классификаций и критериев). </w:t>
            </w:r>
          </w:p>
          <w:p w14:paraId="614C0A80" w14:textId="77777777" w:rsidR="00ED2906" w:rsidRPr="00ED2906" w:rsidRDefault="00ED2906" w:rsidP="00ED2906">
            <w:pPr>
              <w:spacing w:before="168" w:after="0" w:line="240" w:lineRule="auto"/>
              <w:ind w:firstLine="709"/>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После установления инвалидности определяется группа инвалидности. При этом (п. п. 5, 11 - 13 Классификаций и критериев): </w:t>
            </w:r>
          </w:p>
          <w:p w14:paraId="3D3BBCC6" w14:textId="77777777" w:rsidR="00ED2906" w:rsidRPr="00ED2906" w:rsidRDefault="00ED2906" w:rsidP="00ED2906">
            <w:pPr>
              <w:numPr>
                <w:ilvl w:val="0"/>
                <w:numId w:val="1"/>
              </w:numPr>
              <w:spacing w:before="100" w:beforeAutospacing="1" w:after="100" w:afterAutospacing="1" w:line="240" w:lineRule="auto"/>
              <w:ind w:firstLine="709"/>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I группа устанавливается при стойких значительно выраженных нарушениях функций организма в диапазоне от 90 до 100% (IV степень выраженности стойких нарушений);</w:t>
            </w:r>
          </w:p>
          <w:p w14:paraId="37C5BD77" w14:textId="77777777" w:rsidR="00ED2906" w:rsidRPr="00ED2906" w:rsidRDefault="00ED2906" w:rsidP="00ED2906">
            <w:pPr>
              <w:numPr>
                <w:ilvl w:val="0"/>
                <w:numId w:val="2"/>
              </w:numPr>
              <w:spacing w:before="100" w:beforeAutospacing="1" w:after="100" w:afterAutospacing="1" w:line="240" w:lineRule="auto"/>
              <w:ind w:firstLine="709"/>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II группа - при стойких выраженных нарушениях функций организма в диапазоне от 70 до 80% (III степень выраженности стойких нарушений);</w:t>
            </w:r>
          </w:p>
          <w:p w14:paraId="38024749" w14:textId="77777777" w:rsidR="00ED2906" w:rsidRPr="00ED2906" w:rsidRDefault="00ED2906" w:rsidP="00ED2906">
            <w:pPr>
              <w:numPr>
                <w:ilvl w:val="0"/>
                <w:numId w:val="3"/>
              </w:numPr>
              <w:spacing w:before="100" w:beforeAutospacing="1" w:after="100" w:afterAutospacing="1" w:line="240" w:lineRule="auto"/>
              <w:ind w:firstLine="709"/>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III группа - при стойких умеренных нарушениях функций организма в диапазоне от 40 до 60% (II степень выраженности стойких нарушений).</w:t>
            </w:r>
          </w:p>
          <w:p w14:paraId="4A75992E" w14:textId="77777777" w:rsidR="00ED2906" w:rsidRPr="00ED2906" w:rsidRDefault="00ED2906" w:rsidP="00ED2906">
            <w:pPr>
              <w:spacing w:after="0" w:line="168" w:lineRule="atLeast"/>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9639"/>
            </w:tblGrid>
            <w:tr w:rsidR="00ED2906" w:rsidRPr="00ED2906" w14:paraId="3A3100BD" w14:textId="77777777" w:rsidTr="00ED2906">
              <w:tc>
                <w:tcPr>
                  <w:tcW w:w="0" w:type="auto"/>
                  <w:tcMar>
                    <w:top w:w="0" w:type="dxa"/>
                    <w:left w:w="0" w:type="dxa"/>
                    <w:bottom w:w="0" w:type="dxa"/>
                    <w:right w:w="0" w:type="dxa"/>
                  </w:tcMar>
                  <w:vAlign w:val="center"/>
                  <w:hideMark/>
                </w:tcPr>
                <w:p w14:paraId="74F4999C" w14:textId="7BB5F7B8" w:rsidR="00ED2906" w:rsidRPr="00ED2906" w:rsidRDefault="00ED2906" w:rsidP="00ED2906">
                  <w:pPr>
                    <w:spacing w:after="0" w:line="288" w:lineRule="atLeast"/>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w:t>
                  </w:r>
                  <w:r w:rsidRPr="00ED2906">
                    <w:rPr>
                      <w:rFonts w:ascii="Times New Roman" w:eastAsia="Times New Roman" w:hAnsi="Times New Roman" w:cs="Times New Roman"/>
                      <w:sz w:val="26"/>
                      <w:szCs w:val="26"/>
                      <w:lang w:eastAsia="ru-RU"/>
                    </w:rPr>
                    <w:t xml:space="preserve">Старший помощник Азовского межрайонного прокурора                </w:t>
                  </w:r>
                  <w:r>
                    <w:rPr>
                      <w:rFonts w:ascii="Times New Roman" w:eastAsia="Times New Roman" w:hAnsi="Times New Roman" w:cs="Times New Roman"/>
                      <w:sz w:val="26"/>
                      <w:szCs w:val="26"/>
                      <w:lang w:eastAsia="ru-RU"/>
                    </w:rPr>
                    <w:t xml:space="preserve">     </w:t>
                  </w:r>
                  <w:r w:rsidRPr="00ED2906">
                    <w:rPr>
                      <w:rFonts w:ascii="Times New Roman" w:eastAsia="Times New Roman" w:hAnsi="Times New Roman" w:cs="Times New Roman"/>
                      <w:sz w:val="26"/>
                      <w:szCs w:val="26"/>
                      <w:lang w:eastAsia="ru-RU"/>
                    </w:rPr>
                    <w:t>И.</w:t>
                  </w:r>
                  <w:r>
                    <w:rPr>
                      <w:rFonts w:ascii="Times New Roman" w:eastAsia="Times New Roman" w:hAnsi="Times New Roman" w:cs="Times New Roman"/>
                      <w:sz w:val="26"/>
                      <w:szCs w:val="26"/>
                      <w:lang w:eastAsia="ru-RU"/>
                    </w:rPr>
                    <w:t>Е</w:t>
                  </w:r>
                  <w:r w:rsidRPr="00ED2906">
                    <w:rPr>
                      <w:rFonts w:ascii="Times New Roman" w:eastAsia="Times New Roman" w:hAnsi="Times New Roman" w:cs="Times New Roman"/>
                      <w:sz w:val="26"/>
                      <w:szCs w:val="26"/>
                      <w:lang w:eastAsia="ru-RU"/>
                    </w:rPr>
                    <w:t>. Кучурова</w:t>
                  </w:r>
                  <w:r>
                    <w:rPr>
                      <w:rFonts w:ascii="Times New Roman" w:eastAsia="Times New Roman" w:hAnsi="Times New Roman" w:cs="Times New Roman"/>
                      <w:sz w:val="26"/>
                      <w:szCs w:val="26"/>
                      <w:lang w:eastAsia="ru-RU"/>
                    </w:rPr>
                    <w:t xml:space="preserve"> </w:t>
                  </w:r>
                </w:p>
                <w:p w14:paraId="4E6EDD82" w14:textId="77777777" w:rsidR="00ED2906" w:rsidRDefault="00ED2906" w:rsidP="00ED2906">
                  <w:pPr>
                    <w:spacing w:after="0" w:line="288" w:lineRule="atLeast"/>
                    <w:jc w:val="center"/>
                    <w:rPr>
                      <w:rFonts w:ascii="Times New Roman" w:eastAsia="Times New Roman" w:hAnsi="Times New Roman" w:cs="Times New Roman"/>
                      <w:b/>
                      <w:bCs/>
                      <w:sz w:val="26"/>
                      <w:szCs w:val="26"/>
                      <w:lang w:eastAsia="ru-RU"/>
                    </w:rPr>
                  </w:pPr>
                  <w:r w:rsidRPr="00ED2906">
                    <w:rPr>
                      <w:rFonts w:ascii="Times New Roman" w:eastAsia="Times New Roman" w:hAnsi="Times New Roman" w:cs="Times New Roman"/>
                      <w:b/>
                      <w:bCs/>
                      <w:sz w:val="26"/>
                      <w:szCs w:val="26"/>
                      <w:lang w:eastAsia="ru-RU"/>
                    </w:rPr>
                    <w:lastRenderedPageBreak/>
                    <w:t>Сроки установления группы инвалидности</w:t>
                  </w:r>
                </w:p>
                <w:p w14:paraId="4F16D688" w14:textId="4F4969DB" w:rsidR="00ED2906" w:rsidRPr="00ED2906" w:rsidRDefault="00ED2906" w:rsidP="00ED2906">
                  <w:pPr>
                    <w:spacing w:after="0" w:line="288" w:lineRule="atLeast"/>
                    <w:jc w:val="center"/>
                    <w:rPr>
                      <w:rFonts w:ascii="Times New Roman" w:eastAsia="Times New Roman" w:hAnsi="Times New Roman" w:cs="Times New Roman"/>
                      <w:sz w:val="26"/>
                      <w:szCs w:val="26"/>
                      <w:lang w:eastAsia="ru-RU"/>
                    </w:rPr>
                  </w:pPr>
                </w:p>
              </w:tc>
            </w:tr>
          </w:tbl>
          <w:p w14:paraId="04F62AA1" w14:textId="77777777" w:rsidR="00ED2906" w:rsidRPr="00ED2906" w:rsidRDefault="00ED2906" w:rsidP="00ED2906">
            <w:pPr>
              <w:spacing w:after="0" w:line="240" w:lineRule="auto"/>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lastRenderedPageBreak/>
              <w:t xml:space="preserve">По общему правилу группа инвалидности устанавливается на срок (п. 8 Правил): </w:t>
            </w:r>
          </w:p>
          <w:p w14:paraId="72CE1F67" w14:textId="77777777" w:rsidR="00ED2906" w:rsidRPr="00ED2906" w:rsidRDefault="00ED2906" w:rsidP="00ED2906">
            <w:pPr>
              <w:numPr>
                <w:ilvl w:val="0"/>
                <w:numId w:val="4"/>
              </w:numPr>
              <w:spacing w:after="100" w:afterAutospacing="1" w:line="240" w:lineRule="auto"/>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два года - для инвалидов I группы;</w:t>
            </w:r>
          </w:p>
          <w:p w14:paraId="6897A61B" w14:textId="77777777" w:rsidR="00ED2906" w:rsidRPr="00ED2906" w:rsidRDefault="00ED2906" w:rsidP="00ED2906">
            <w:pPr>
              <w:numPr>
                <w:ilvl w:val="0"/>
                <w:numId w:val="5"/>
              </w:numPr>
              <w:spacing w:after="100" w:afterAutospacing="1" w:line="240" w:lineRule="auto"/>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один год - для инвалидов II и III группы.</w:t>
            </w:r>
          </w:p>
          <w:p w14:paraId="1CCC4509" w14:textId="77777777" w:rsidR="00ED2906" w:rsidRPr="00ED2906" w:rsidRDefault="00ED2906" w:rsidP="00ED2906">
            <w:pPr>
              <w:spacing w:after="0" w:line="240" w:lineRule="auto"/>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Инвалидность устанавливается до 1-го числа месяца, следующего за тем месяцем, на который назначено переосвидетельствование (п. 12 Правил). </w:t>
            </w:r>
          </w:p>
          <w:p w14:paraId="63811AF9" w14:textId="77777777" w:rsidR="00ED2906" w:rsidRPr="00ED2906" w:rsidRDefault="00ED2906" w:rsidP="00ED2906">
            <w:pPr>
              <w:spacing w:after="0" w:line="288" w:lineRule="atLeast"/>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По окончании данного срока необходимо пройти переосвидетельствование (п. 52 Правил). </w:t>
            </w:r>
          </w:p>
          <w:p w14:paraId="6AF49ED7" w14:textId="77777777" w:rsidR="00ED2906" w:rsidRPr="00ED2906" w:rsidRDefault="00ED2906" w:rsidP="00ED2906">
            <w:pPr>
              <w:spacing w:after="0" w:line="288" w:lineRule="atLeast"/>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Без указания срока переосвидетельствования инвалидность устанавливается в следующих случаях (п. п. 9, 13 Правил): </w:t>
            </w:r>
          </w:p>
          <w:p w14:paraId="457E9CE2" w14:textId="77777777" w:rsidR="00ED2906" w:rsidRPr="00ED2906" w:rsidRDefault="00ED2906" w:rsidP="00ED2906">
            <w:pPr>
              <w:spacing w:after="0" w:line="288" w:lineRule="atLeast"/>
              <w:ind w:left="540" w:hanging="300"/>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1) при первичном признании инвалидом в связи с заболеваниями, дефектами, необратимыми морфологическими изменениями, нарушениями функций органов и систем организма, указанными в разд. IV Приложения к Правилам (например, при наличии хронической болезни почек 5-й стадии и противопоказаний к трансплантации почки); </w:t>
            </w:r>
          </w:p>
          <w:p w14:paraId="255570D5" w14:textId="77777777" w:rsidR="00ED2906" w:rsidRPr="00ED2906" w:rsidRDefault="00ED2906" w:rsidP="00ED2906">
            <w:pPr>
              <w:spacing w:before="168" w:after="0" w:line="288" w:lineRule="atLeast"/>
              <w:ind w:left="540" w:hanging="300"/>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2) при первичном признании инвалидом гражданина, имеющего определенные дефекты верхней конечности (и (или) дефекты и деформации нижней конечности) вследствие военной травмы, если увечье получено при несении военной службы, или вследствие увечья (ранения, травмы, контузии), полученного в связи с исполнением обязанностей по контракту о пребывании в добровольческом формировании; </w:t>
            </w:r>
          </w:p>
          <w:p w14:paraId="59D64FFA" w14:textId="77777777" w:rsidR="00ED2906" w:rsidRPr="00ED2906" w:rsidRDefault="00ED2906" w:rsidP="00ED2906">
            <w:pPr>
              <w:spacing w:before="168" w:after="0" w:line="288" w:lineRule="atLeast"/>
              <w:ind w:left="540" w:hanging="300"/>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3) не позднее двух лет после первичного признания инвалидом гражданина, имеющего заболевания, дефекты, необратимые морфологические изменения, нарушения функций органов и систем организма, предусмотренные разд. I Приложения к Правилам (например, при тяжелом общем состоянии после паллиативного лечения злокачественного новообразования); </w:t>
            </w:r>
          </w:p>
          <w:p w14:paraId="0DC7174B" w14:textId="77777777" w:rsidR="00ED2906" w:rsidRPr="00ED2906" w:rsidRDefault="00ED2906" w:rsidP="00ED2906">
            <w:pPr>
              <w:spacing w:before="168" w:after="0" w:line="288" w:lineRule="atLeast"/>
              <w:ind w:left="540" w:hanging="300"/>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4) не позднее четырех лет после первичного признания инвалидом при выявлении невозможности устранения или уменьшения в ходе реализации мероприятий и оказания услуг по комплексной реабилитации и </w:t>
            </w:r>
            <w:proofErr w:type="spellStart"/>
            <w:r w:rsidRPr="00ED2906">
              <w:rPr>
                <w:rFonts w:ascii="Times New Roman" w:eastAsia="Times New Roman" w:hAnsi="Times New Roman" w:cs="Times New Roman"/>
                <w:sz w:val="26"/>
                <w:szCs w:val="26"/>
                <w:lang w:eastAsia="ru-RU"/>
              </w:rPr>
              <w:t>абилитации</w:t>
            </w:r>
            <w:proofErr w:type="spellEnd"/>
            <w:r w:rsidRPr="00ED2906">
              <w:rPr>
                <w:rFonts w:ascii="Times New Roman" w:eastAsia="Times New Roman" w:hAnsi="Times New Roman" w:cs="Times New Roman"/>
                <w:sz w:val="26"/>
                <w:szCs w:val="26"/>
                <w:lang w:eastAsia="ru-RU"/>
              </w:rPr>
              <w:t xml:space="preserve"> степени ограничения жизнедеятельности, вызванного стойкими необратимыми морфологическими изменениями, дефектами и нарушениями функций органов и систем организма (за исключением указанных в Приложении к Правилам); </w:t>
            </w:r>
          </w:p>
          <w:p w14:paraId="29D55A2F" w14:textId="77777777" w:rsidR="00ED2906" w:rsidRPr="00ED2906" w:rsidRDefault="00ED2906" w:rsidP="00ED2906">
            <w:pPr>
              <w:spacing w:before="168" w:after="0" w:line="288" w:lineRule="atLeast"/>
              <w:ind w:left="540" w:hanging="300"/>
              <w:jc w:val="both"/>
              <w:rPr>
                <w:rFonts w:ascii="Times New Roman" w:eastAsia="Times New Roman" w:hAnsi="Times New Roman" w:cs="Times New Roman"/>
                <w:sz w:val="26"/>
                <w:szCs w:val="26"/>
                <w:lang w:eastAsia="ru-RU"/>
              </w:rPr>
            </w:pPr>
            <w:r w:rsidRPr="00ED2906">
              <w:rPr>
                <w:rFonts w:ascii="Times New Roman" w:eastAsia="Times New Roman" w:hAnsi="Times New Roman" w:cs="Times New Roman"/>
                <w:sz w:val="26"/>
                <w:szCs w:val="26"/>
                <w:lang w:eastAsia="ru-RU"/>
              </w:rPr>
              <w:t xml:space="preserve">5) при первичном признании инвалидом по основаниям, указанным выше в п. п. 3 и 4, в случае отсутствия положительных результатов мероприятий по медицинской реабилитации, проведенных в отношении гражданина до его направления на МСЭ. </w:t>
            </w:r>
          </w:p>
          <w:p w14:paraId="651001A6" w14:textId="77777777" w:rsidR="00ED2906" w:rsidRPr="00ED2906" w:rsidRDefault="00ED2906" w:rsidP="00ED2906">
            <w:pPr>
              <w:spacing w:after="0" w:line="288" w:lineRule="atLeast"/>
              <w:jc w:val="both"/>
              <w:rPr>
                <w:rFonts w:ascii="Times New Roman" w:eastAsia="Times New Roman" w:hAnsi="Times New Roman" w:cs="Times New Roman"/>
                <w:sz w:val="26"/>
                <w:szCs w:val="26"/>
                <w:lang w:eastAsia="ru-RU"/>
              </w:rPr>
            </w:pPr>
          </w:p>
          <w:p w14:paraId="7D6CC69C" w14:textId="28527A9E" w:rsidR="00ED2906" w:rsidRPr="00ED2906" w:rsidRDefault="00416BC0" w:rsidP="00ED2906">
            <w:pPr>
              <w:spacing w:before="168" w:after="0" w:line="288" w:lineRule="atLeast"/>
              <w:jc w:val="both"/>
              <w:rPr>
                <w:rFonts w:ascii="Times New Roman" w:eastAsia="Times New Roman" w:hAnsi="Times New Roman" w:cs="Times New Roman"/>
                <w:b/>
                <w:bCs/>
                <w:sz w:val="26"/>
                <w:szCs w:val="26"/>
                <w:lang w:eastAsia="ru-RU"/>
              </w:rPr>
            </w:pPr>
            <w:r w:rsidRPr="00ED2906">
              <w:rPr>
                <w:rFonts w:ascii="Times New Roman" w:eastAsia="Times New Roman" w:hAnsi="Times New Roman" w:cs="Times New Roman"/>
                <w:sz w:val="26"/>
                <w:szCs w:val="26"/>
                <w:lang w:eastAsia="ru-RU"/>
              </w:rPr>
              <w:t> </w:t>
            </w:r>
            <w:r w:rsidR="00ED2906" w:rsidRPr="00ED2906">
              <w:rPr>
                <w:rFonts w:ascii="Times New Roman" w:eastAsia="Times New Roman" w:hAnsi="Times New Roman" w:cs="Times New Roman"/>
                <w:sz w:val="26"/>
                <w:szCs w:val="26"/>
                <w:lang w:eastAsia="ru-RU"/>
              </w:rPr>
              <w:t xml:space="preserve">Старший помощник Азовского межрайонного прокурора                </w:t>
            </w:r>
            <w:r w:rsidR="00ED2906">
              <w:rPr>
                <w:rFonts w:ascii="Times New Roman" w:eastAsia="Times New Roman" w:hAnsi="Times New Roman" w:cs="Times New Roman"/>
                <w:sz w:val="26"/>
                <w:szCs w:val="26"/>
                <w:lang w:eastAsia="ru-RU"/>
              </w:rPr>
              <w:t xml:space="preserve">        </w:t>
            </w:r>
            <w:bookmarkStart w:id="0" w:name="_GoBack"/>
            <w:bookmarkEnd w:id="0"/>
            <w:r w:rsidR="00ED2906">
              <w:rPr>
                <w:rFonts w:ascii="Times New Roman" w:eastAsia="Times New Roman" w:hAnsi="Times New Roman" w:cs="Times New Roman"/>
                <w:sz w:val="26"/>
                <w:szCs w:val="26"/>
                <w:lang w:eastAsia="ru-RU"/>
              </w:rPr>
              <w:t xml:space="preserve">  </w:t>
            </w:r>
            <w:r w:rsidR="00ED2906" w:rsidRPr="00ED2906">
              <w:rPr>
                <w:rFonts w:ascii="Times New Roman" w:eastAsia="Times New Roman" w:hAnsi="Times New Roman" w:cs="Times New Roman"/>
                <w:sz w:val="26"/>
                <w:szCs w:val="26"/>
                <w:lang w:eastAsia="ru-RU"/>
              </w:rPr>
              <w:t>И.</w:t>
            </w:r>
            <w:r w:rsidR="00ED2906">
              <w:rPr>
                <w:rFonts w:ascii="Times New Roman" w:eastAsia="Times New Roman" w:hAnsi="Times New Roman" w:cs="Times New Roman"/>
                <w:sz w:val="26"/>
                <w:szCs w:val="26"/>
                <w:lang w:eastAsia="ru-RU"/>
              </w:rPr>
              <w:t>Е</w:t>
            </w:r>
            <w:r w:rsidR="00ED2906" w:rsidRPr="00ED2906">
              <w:rPr>
                <w:rFonts w:ascii="Times New Roman" w:eastAsia="Times New Roman" w:hAnsi="Times New Roman" w:cs="Times New Roman"/>
                <w:sz w:val="26"/>
                <w:szCs w:val="26"/>
                <w:lang w:eastAsia="ru-RU"/>
              </w:rPr>
              <w:t>. Кучурова</w:t>
            </w:r>
          </w:p>
          <w:p w14:paraId="2C2331E4" w14:textId="7AE6A59F" w:rsidR="00416BC0" w:rsidRPr="00ED2906" w:rsidRDefault="00416BC0" w:rsidP="00416BC0">
            <w:pPr>
              <w:spacing w:after="0" w:line="288" w:lineRule="atLeast"/>
              <w:jc w:val="both"/>
              <w:rPr>
                <w:rFonts w:ascii="Times New Roman" w:eastAsia="Times New Roman" w:hAnsi="Times New Roman" w:cs="Times New Roman"/>
                <w:sz w:val="26"/>
                <w:szCs w:val="26"/>
                <w:lang w:eastAsia="ru-RU"/>
              </w:rPr>
            </w:pPr>
          </w:p>
        </w:tc>
      </w:tr>
    </w:tbl>
    <w:p w14:paraId="25233B81" w14:textId="77777777" w:rsidR="00416BC0" w:rsidRPr="00416BC0" w:rsidRDefault="00416BC0" w:rsidP="00416BC0">
      <w:pPr>
        <w:spacing w:after="0" w:line="240" w:lineRule="auto"/>
        <w:rPr>
          <w:rFonts w:ascii="Times New Roman" w:eastAsia="Times New Roman" w:hAnsi="Times New Roman" w:cs="Times New Roman"/>
          <w:vanish/>
          <w:lang w:eastAsia="ru-RU"/>
        </w:rPr>
      </w:pPr>
    </w:p>
    <w:p w14:paraId="5E52F154" w14:textId="1F019670" w:rsidR="00416BC0" w:rsidRPr="00416BC0" w:rsidRDefault="00416BC0" w:rsidP="00ED2906">
      <w:pPr>
        <w:spacing w:after="0" w:line="240" w:lineRule="atLeast"/>
        <w:rPr>
          <w:rFonts w:ascii="Times New Roman" w:eastAsia="Times New Roman" w:hAnsi="Times New Roman" w:cs="Times New Roman"/>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416BC0" w:rsidRPr="00416BC0" w14:paraId="1CAA2146" w14:textId="77777777" w:rsidTr="00416BC0">
        <w:tc>
          <w:tcPr>
            <w:tcW w:w="0" w:type="auto"/>
            <w:tcMar>
              <w:top w:w="0" w:type="dxa"/>
              <w:left w:w="0" w:type="dxa"/>
              <w:bottom w:w="0" w:type="dxa"/>
              <w:right w:w="0" w:type="dxa"/>
            </w:tcMar>
            <w:vAlign w:val="center"/>
            <w:hideMark/>
          </w:tcPr>
          <w:p w14:paraId="2F0112A3" w14:textId="77777777" w:rsidR="00416BC0" w:rsidRPr="00416BC0" w:rsidRDefault="00416BC0" w:rsidP="00416BC0">
            <w:pPr>
              <w:spacing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  </w:t>
            </w:r>
          </w:p>
          <w:p w14:paraId="3867BF78"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C9A5E28"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E777369"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ABC48B9"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311CC0C3"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412EF1BA"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2B2B648A"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8500825"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36E34B72"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43285B12"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268AAAE4"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AA808A8"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616B4DD"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07FADEE2"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F07CABB"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405F7804"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ECA94B2"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4AE239A"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0A2C7433"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4F59F790"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61A2101"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DC6070F"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8D9A919"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4CADD61"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D7C0B96"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077CF7F0"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C9996D8" w14:textId="77777777" w:rsidR="00416BC0" w:rsidRDefault="00416BC0" w:rsidP="00416BC0">
            <w:pPr>
              <w:spacing w:after="0" w:line="288" w:lineRule="atLeast"/>
              <w:rPr>
                <w:rFonts w:ascii="Times New Roman" w:eastAsia="Times New Roman" w:hAnsi="Times New Roman" w:cs="Times New Roman"/>
                <w:b/>
                <w:bCs/>
                <w:lang w:eastAsia="ru-RU"/>
              </w:rPr>
            </w:pPr>
          </w:p>
          <w:p w14:paraId="490462FE" w14:textId="77777777" w:rsidR="00416BC0" w:rsidRDefault="00416BC0" w:rsidP="00416BC0">
            <w:pPr>
              <w:spacing w:after="0" w:line="288" w:lineRule="atLeast"/>
              <w:rPr>
                <w:rFonts w:ascii="Times New Roman" w:eastAsia="Times New Roman" w:hAnsi="Times New Roman" w:cs="Times New Roman"/>
                <w:b/>
                <w:bCs/>
                <w:lang w:eastAsia="ru-RU"/>
              </w:rPr>
            </w:pPr>
          </w:p>
          <w:p w14:paraId="3A36BCC9" w14:textId="77777777" w:rsidR="00416BC0" w:rsidRDefault="00416BC0" w:rsidP="00416BC0">
            <w:pPr>
              <w:spacing w:after="0" w:line="288" w:lineRule="atLeast"/>
              <w:rPr>
                <w:rFonts w:ascii="Times New Roman" w:eastAsia="Times New Roman" w:hAnsi="Times New Roman" w:cs="Times New Roman"/>
                <w:b/>
                <w:bCs/>
                <w:lang w:eastAsia="ru-RU"/>
              </w:rPr>
            </w:pPr>
          </w:p>
          <w:p w14:paraId="3B42EA66" w14:textId="77777777" w:rsidR="00416BC0" w:rsidRDefault="00416BC0" w:rsidP="00416BC0">
            <w:pPr>
              <w:spacing w:after="0" w:line="288" w:lineRule="atLeast"/>
              <w:rPr>
                <w:rFonts w:ascii="Times New Roman" w:eastAsia="Times New Roman" w:hAnsi="Times New Roman" w:cs="Times New Roman"/>
                <w:b/>
                <w:bCs/>
                <w:lang w:eastAsia="ru-RU"/>
              </w:rPr>
            </w:pPr>
          </w:p>
          <w:p w14:paraId="23946FD3" w14:textId="77777777" w:rsidR="00416BC0" w:rsidRDefault="00416BC0" w:rsidP="00416BC0">
            <w:pPr>
              <w:spacing w:after="0" w:line="288" w:lineRule="atLeast"/>
              <w:rPr>
                <w:rFonts w:ascii="Times New Roman" w:eastAsia="Times New Roman" w:hAnsi="Times New Roman" w:cs="Times New Roman"/>
                <w:b/>
                <w:bCs/>
                <w:lang w:eastAsia="ru-RU"/>
              </w:rPr>
            </w:pPr>
          </w:p>
          <w:p w14:paraId="68FA64F0" w14:textId="77777777" w:rsidR="00416BC0" w:rsidRDefault="00416BC0" w:rsidP="00416BC0">
            <w:pPr>
              <w:spacing w:after="0" w:line="288" w:lineRule="atLeast"/>
              <w:rPr>
                <w:rFonts w:ascii="Times New Roman" w:eastAsia="Times New Roman" w:hAnsi="Times New Roman" w:cs="Times New Roman"/>
                <w:b/>
                <w:bCs/>
                <w:lang w:eastAsia="ru-RU"/>
              </w:rPr>
            </w:pPr>
          </w:p>
          <w:p w14:paraId="213ED811" w14:textId="77777777" w:rsidR="00416BC0" w:rsidRDefault="00416BC0" w:rsidP="00416BC0">
            <w:pPr>
              <w:spacing w:after="0" w:line="288" w:lineRule="atLeast"/>
              <w:rPr>
                <w:rFonts w:ascii="Times New Roman" w:eastAsia="Times New Roman" w:hAnsi="Times New Roman" w:cs="Times New Roman"/>
                <w:b/>
                <w:bCs/>
                <w:lang w:eastAsia="ru-RU"/>
              </w:rPr>
            </w:pPr>
          </w:p>
          <w:p w14:paraId="5F378108" w14:textId="77777777" w:rsidR="00416BC0" w:rsidRDefault="00416BC0" w:rsidP="00416BC0">
            <w:pPr>
              <w:spacing w:after="0" w:line="288" w:lineRule="atLeast"/>
              <w:rPr>
                <w:rFonts w:ascii="Times New Roman" w:eastAsia="Times New Roman" w:hAnsi="Times New Roman" w:cs="Times New Roman"/>
                <w:b/>
                <w:bCs/>
                <w:lang w:eastAsia="ru-RU"/>
              </w:rPr>
            </w:pPr>
          </w:p>
          <w:p w14:paraId="02053FBF" w14:textId="77777777" w:rsidR="00416BC0" w:rsidRDefault="00416BC0" w:rsidP="00416BC0">
            <w:pPr>
              <w:spacing w:after="0" w:line="288" w:lineRule="atLeast"/>
              <w:rPr>
                <w:rFonts w:ascii="Times New Roman" w:eastAsia="Times New Roman" w:hAnsi="Times New Roman" w:cs="Times New Roman"/>
                <w:b/>
                <w:bCs/>
                <w:lang w:eastAsia="ru-RU"/>
              </w:rPr>
            </w:pPr>
          </w:p>
          <w:p w14:paraId="103245A8" w14:textId="77777777" w:rsidR="00416BC0" w:rsidRDefault="00416BC0" w:rsidP="00416BC0">
            <w:pPr>
              <w:spacing w:after="0" w:line="288" w:lineRule="atLeast"/>
              <w:rPr>
                <w:rFonts w:ascii="Times New Roman" w:eastAsia="Times New Roman" w:hAnsi="Times New Roman" w:cs="Times New Roman"/>
                <w:b/>
                <w:bCs/>
                <w:lang w:eastAsia="ru-RU"/>
              </w:rPr>
            </w:pPr>
          </w:p>
          <w:p w14:paraId="654148C5" w14:textId="77777777" w:rsidR="00416BC0" w:rsidRDefault="00416BC0" w:rsidP="00416BC0">
            <w:pPr>
              <w:spacing w:after="0" w:line="288" w:lineRule="atLeast"/>
              <w:rPr>
                <w:rFonts w:ascii="Times New Roman" w:eastAsia="Times New Roman" w:hAnsi="Times New Roman" w:cs="Times New Roman"/>
                <w:b/>
                <w:bCs/>
                <w:lang w:eastAsia="ru-RU"/>
              </w:rPr>
            </w:pPr>
          </w:p>
          <w:p w14:paraId="2FFE5BB1" w14:textId="77777777" w:rsidR="00416BC0" w:rsidRDefault="00416BC0" w:rsidP="00416BC0">
            <w:pPr>
              <w:spacing w:after="0" w:line="288" w:lineRule="atLeast"/>
              <w:rPr>
                <w:rFonts w:ascii="Times New Roman" w:eastAsia="Times New Roman" w:hAnsi="Times New Roman" w:cs="Times New Roman"/>
                <w:b/>
                <w:bCs/>
                <w:lang w:eastAsia="ru-RU"/>
              </w:rPr>
            </w:pPr>
          </w:p>
          <w:p w14:paraId="2DFD4452" w14:textId="77777777" w:rsidR="00416BC0" w:rsidRDefault="00416BC0" w:rsidP="00416BC0">
            <w:pPr>
              <w:spacing w:after="0" w:line="288" w:lineRule="atLeast"/>
              <w:rPr>
                <w:rFonts w:ascii="Times New Roman" w:eastAsia="Times New Roman" w:hAnsi="Times New Roman" w:cs="Times New Roman"/>
                <w:b/>
                <w:bCs/>
                <w:lang w:eastAsia="ru-RU"/>
              </w:rPr>
            </w:pPr>
          </w:p>
          <w:p w14:paraId="5734B900" w14:textId="6832C38C" w:rsidR="00416BC0" w:rsidRPr="00416BC0" w:rsidRDefault="00416BC0" w:rsidP="00416BC0">
            <w:pPr>
              <w:spacing w:after="0" w:line="288" w:lineRule="atLeast"/>
              <w:jc w:val="center"/>
              <w:rPr>
                <w:rFonts w:ascii="Times New Roman" w:eastAsia="Times New Roman" w:hAnsi="Times New Roman" w:cs="Times New Roman"/>
                <w:lang w:eastAsia="ru-RU"/>
              </w:rPr>
            </w:pPr>
            <w:r w:rsidRPr="00416BC0">
              <w:rPr>
                <w:rFonts w:ascii="Times New Roman" w:eastAsia="Times New Roman" w:hAnsi="Times New Roman" w:cs="Times New Roman"/>
                <w:b/>
                <w:bCs/>
                <w:lang w:eastAsia="ru-RU"/>
              </w:rPr>
              <w:t>Признание дома аварийным и подлежащим сносу или изъятие земельного участка для государственных или муниципальных нужд</w:t>
            </w:r>
          </w:p>
        </w:tc>
      </w:tr>
    </w:tbl>
    <w:p w14:paraId="45CB3FF7"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lastRenderedPageBreak/>
        <w:t xml:space="preserve">Жилое помещение может быть изъято у собственника в связи с изъятием земельного участка, на котором расположено указанное помещение или многоквартирный дом, в котором находится данное помещение, для государственных или муниципальных нужд (ч. 1 ст. 32 ЖК РФ). </w:t>
      </w:r>
    </w:p>
    <w:p w14:paraId="2161AFCA"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В случае признания многоквартирного дома аварийным и подлежащим сносу или реконструкции орган, вынесший такое решение, по общему правилу может потребовать от собственников помещений в этом доме снести или реконструировать дом. Если в установленный срок собственники не выполнят предъявленное требование, земельный участок, на котором расположен дом, и, соответственно, каждое помещение в этом доме подлежат изъятию для муниципальных нужд (ч. 10 ст. 32 ЖК РФ). </w:t>
      </w:r>
    </w:p>
    <w:p w14:paraId="3BA18FAE"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lastRenderedPageBreak/>
        <w:t xml:space="preserve">В вышеуказанных случаях собственнику направляется уведомление о принятом решении, а также проект соглашения об изъятии недвижимости, который определяет размер возмещения за изымаемое помещение, сроки и другие условия изъятия. Если собственник откажется от заключения соглашения об изъятии недвижимости, возможно принудительное изъятие жилого помещения по решению суда, но только при условии предварительного и равноценного возмещения (ч. 4, 6, 9 ст. 32 ЖК РФ). </w:t>
      </w:r>
    </w:p>
    <w:p w14:paraId="4011E200"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В общем случае по соглашению с собственником жилого помещения взамен изымаемого жилого помещения ему могут предоставить другое жилое помещение с зачетом его стоимости при определении размера возмещения за изымаемое жилое помещение. При этом собственникам помещений в аварийном многоквартирном доме предоставляется право выбора между получением возмещения за изымаемое у них жилое помещение или предоставлением им по соглашению другого жилого помещения (ч. 8 ст. 32 ЖК РФ; п. 12 Обзора судебной практики Верховного Суда РФ N 4 (2019), утв. Президиумом Верховного Суда РФ 25.12.2019). </w:t>
      </w:r>
    </w:p>
    <w:p w14:paraId="0917E109"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Исключение составляют граждане, которые приобрели право собственности на жилое помещение (кроме приобретения права собственности в порядке наследования) после признания многоквартирного дома в установленном порядке аварийным и подлежащим сносу или реконструкции. Указанные лица имеют право только на выплату возмещения, размер которого не может превышать стоимость приобретения ими такого жилого помещения (ч. 8.2 ст. 32 ЖК РФ). </w:t>
      </w:r>
    </w:p>
    <w:p w14:paraId="7420D13C"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При определенных условиях бывшему члену семьи собственника изымаемого жилого помещения, имевшему в момент его приватизации равное право пользования этим помещением с приватизировавшим его лицом и отказавшемуся от участия в приватизации, может быть предоставлено в пользование жилое помещение из муниципального жилищного фонда. Этот вопрос должен быть разрешен судом по требованию такого бывшего члена семьи в случае изъятия жилого помещения для муниципальных нужд в связи с его признанием непригодным для проживания, а многоквартирного дома аварийным и подлежащим сносу или реконструкции. </w:t>
      </w:r>
    </w:p>
    <w:p w14:paraId="2A07E921"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В указанном случае жилое помещение должно быть предоставлено с момента, когда дальнейшее нахождение в изымаемом жилом помещении невозможно или непосредственно создает опасность для жизни или здоровья, при условии, что для бывшего члена семьи собственника изымаемого жилого помещения оно является единственным и он признан малоимущим и принят на учет в качестве нуждающегося в жилом помещении или имеет право состоять на таком учете (Постановление Конституционного Суда РФ от 25.04.2024 N 21-П). </w:t>
      </w:r>
    </w:p>
    <w:p w14:paraId="0C87540F"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Изъятие жилых помещений у граждан, которые признаны малоимущими, состоят на учете в качестве нуждающихся в предоставлении жилых помещений и являются собственниками единственного жилого помещения, признанного в установленном порядке непригодным для проживания (включая жилое помещение, входящее в состав многоквартирного дома, признанного аварийным и подлежащим сносу или реконструкции), если соответствующий жилой дом не включен в региональную адресную программу по переселению граждан из аварийного жилищного фонда, имеет определенные особенности. </w:t>
      </w:r>
    </w:p>
    <w:p w14:paraId="3EB07859"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Таким гражданам должны вне очереди предоставляться равнозначные по общей площади изымаемым помещениям благоустроенные жилые помещения по договору социального найма без оплаты возмещения либо (при определенных условиях) жилые помещения маневренного фонда на весь период до решения вопроса о способе удовлетворения их жилищных потребностей. Исключение составляют граждане, приобретшие изымаемое </w:t>
      </w:r>
      <w:r w:rsidRPr="00416BC0">
        <w:rPr>
          <w:rFonts w:ascii="Times New Roman" w:eastAsia="Times New Roman" w:hAnsi="Times New Roman" w:cs="Times New Roman"/>
          <w:sz w:val="24"/>
          <w:szCs w:val="24"/>
          <w:lang w:eastAsia="ru-RU"/>
        </w:rPr>
        <w:lastRenderedPageBreak/>
        <w:t xml:space="preserve">жилое помещение по возмездной сделке в период с 28.12.2019 после признания многоквартирного дома аварийным и подлежащим сносу (п. 3.1 ст. 95 ЖК РФ; </w:t>
      </w:r>
      <w:proofErr w:type="spellStart"/>
      <w:r w:rsidRPr="00416BC0">
        <w:rPr>
          <w:rFonts w:ascii="Times New Roman" w:eastAsia="Times New Roman" w:hAnsi="Times New Roman" w:cs="Times New Roman"/>
          <w:sz w:val="24"/>
          <w:szCs w:val="24"/>
          <w:lang w:eastAsia="ru-RU"/>
        </w:rPr>
        <w:t>пп</w:t>
      </w:r>
      <w:proofErr w:type="spellEnd"/>
      <w:r w:rsidRPr="00416BC0">
        <w:rPr>
          <w:rFonts w:ascii="Times New Roman" w:eastAsia="Times New Roman" w:hAnsi="Times New Roman" w:cs="Times New Roman"/>
          <w:sz w:val="24"/>
          <w:szCs w:val="24"/>
          <w:lang w:eastAsia="ru-RU"/>
        </w:rPr>
        <w:t xml:space="preserve">. "в" п. 6 ст. 1, ст. 3 Закона от 27.12.2019 N 473-ФЗ; Постановление Конституционного Суда РФ от 25.04.2023 N 20-П; Определение Судебной коллегии по гражданским делам Верховного Суда РФ от 13.08.2024 N 70-КГ24-3-К7). </w:t>
      </w:r>
    </w:p>
    <w:p w14:paraId="1305D151"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Лицам, занимающим жилые помещения по договорам социального найма, в случаях принятия решения о сносе дома и (или) изъятии соответствующего земельного участка для государственных или муниципальных нужд предоставляются другие жилые помещения, которые должны быть благоустроенными применительно к условиям соответствующего населенного пункта, равнозначными по общей площади ранее занимаемому жилому помещению, отвечать установленным требованиям и находиться в границах данного населенного пункта (ст. ст. 86, 87.2, ч. 1 ст. 89 ЖК РФ). </w:t>
      </w:r>
    </w:p>
    <w:p w14:paraId="7528BE12" w14:textId="3710B1EC" w:rsidR="000E1DFF" w:rsidRDefault="000E1DFF" w:rsidP="000E1DFF">
      <w:pPr>
        <w:spacing w:before="168" w:after="0" w:line="288" w:lineRule="atLeast"/>
        <w:ind w:firstLine="709"/>
        <w:jc w:val="both"/>
        <w:rPr>
          <w:rFonts w:ascii="Times New Roman" w:eastAsia="Times New Roman" w:hAnsi="Times New Roman" w:cs="Times New Roman"/>
          <w:sz w:val="24"/>
          <w:szCs w:val="24"/>
          <w:lang w:eastAsia="ru-RU"/>
        </w:rPr>
      </w:pPr>
    </w:p>
    <w:p w14:paraId="16868E77" w14:textId="5D448C97" w:rsidR="000E1DFF" w:rsidRPr="000E1DFF" w:rsidRDefault="000E1DFF" w:rsidP="000E1DFF">
      <w:pPr>
        <w:spacing w:before="168" w:after="0" w:line="288"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Помощник Азовского межрайонного прокурора                                                   </w:t>
      </w:r>
      <w:r w:rsidR="00416BC0">
        <w:rPr>
          <w:rFonts w:ascii="Times New Roman" w:eastAsia="Times New Roman" w:hAnsi="Times New Roman" w:cs="Times New Roman"/>
          <w:sz w:val="24"/>
          <w:szCs w:val="24"/>
          <w:lang w:eastAsia="ru-RU"/>
        </w:rPr>
        <w:t>Ю.В. Доманова</w:t>
      </w:r>
    </w:p>
    <w:p w14:paraId="09E14F9D" w14:textId="77777777" w:rsidR="002E697A" w:rsidRDefault="002E697A"/>
    <w:sectPr w:rsidR="002E69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43C19"/>
    <w:multiLevelType w:val="multilevel"/>
    <w:tmpl w:val="AD38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D81271"/>
    <w:multiLevelType w:val="multilevel"/>
    <w:tmpl w:val="79A2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C3547C"/>
    <w:multiLevelType w:val="multilevel"/>
    <w:tmpl w:val="A7E23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805272"/>
    <w:multiLevelType w:val="multilevel"/>
    <w:tmpl w:val="3352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256CF"/>
    <w:multiLevelType w:val="multilevel"/>
    <w:tmpl w:val="F8626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21B"/>
    <w:rsid w:val="000E1DFF"/>
    <w:rsid w:val="002E697A"/>
    <w:rsid w:val="00416BC0"/>
    <w:rsid w:val="00B7621B"/>
    <w:rsid w:val="00ED2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7A2AA"/>
  <w15:chartTrackingRefBased/>
  <w15:docId w15:val="{F080F8AC-BB57-4D0C-AFBB-E4CB4171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1DF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409971">
      <w:bodyDiv w:val="1"/>
      <w:marLeft w:val="0"/>
      <w:marRight w:val="0"/>
      <w:marTop w:val="0"/>
      <w:marBottom w:val="0"/>
      <w:divBdr>
        <w:top w:val="none" w:sz="0" w:space="0" w:color="auto"/>
        <w:left w:val="none" w:sz="0" w:space="0" w:color="auto"/>
        <w:bottom w:val="none" w:sz="0" w:space="0" w:color="auto"/>
        <w:right w:val="none" w:sz="0" w:space="0" w:color="auto"/>
      </w:divBdr>
      <w:divsChild>
        <w:div w:id="274531484">
          <w:marLeft w:val="0"/>
          <w:marRight w:val="0"/>
          <w:marTop w:val="0"/>
          <w:marBottom w:val="0"/>
          <w:divBdr>
            <w:top w:val="none" w:sz="0" w:space="0" w:color="auto"/>
            <w:left w:val="none" w:sz="0" w:space="0" w:color="auto"/>
            <w:bottom w:val="none" w:sz="0" w:space="0" w:color="auto"/>
            <w:right w:val="none" w:sz="0" w:space="0" w:color="auto"/>
          </w:divBdr>
        </w:div>
        <w:div w:id="375589694">
          <w:marLeft w:val="0"/>
          <w:marRight w:val="0"/>
          <w:marTop w:val="0"/>
          <w:marBottom w:val="0"/>
          <w:divBdr>
            <w:top w:val="none" w:sz="0" w:space="0" w:color="auto"/>
            <w:left w:val="none" w:sz="0" w:space="0" w:color="auto"/>
            <w:bottom w:val="none" w:sz="0" w:space="0" w:color="auto"/>
            <w:right w:val="none" w:sz="0" w:space="0" w:color="auto"/>
          </w:divBdr>
        </w:div>
      </w:divsChild>
    </w:div>
    <w:div w:id="1571229099">
      <w:bodyDiv w:val="1"/>
      <w:marLeft w:val="0"/>
      <w:marRight w:val="0"/>
      <w:marTop w:val="0"/>
      <w:marBottom w:val="0"/>
      <w:divBdr>
        <w:top w:val="none" w:sz="0" w:space="0" w:color="auto"/>
        <w:left w:val="none" w:sz="0" w:space="0" w:color="auto"/>
        <w:bottom w:val="none" w:sz="0" w:space="0" w:color="auto"/>
        <w:right w:val="none" w:sz="0" w:space="0" w:color="auto"/>
      </w:divBdr>
      <w:divsChild>
        <w:div w:id="231159436">
          <w:marLeft w:val="0"/>
          <w:marRight w:val="0"/>
          <w:marTop w:val="0"/>
          <w:marBottom w:val="0"/>
          <w:divBdr>
            <w:top w:val="none" w:sz="0" w:space="0" w:color="auto"/>
            <w:left w:val="none" w:sz="0" w:space="0" w:color="auto"/>
            <w:bottom w:val="none" w:sz="0" w:space="0" w:color="auto"/>
            <w:right w:val="none" w:sz="0" w:space="0" w:color="auto"/>
          </w:divBdr>
        </w:div>
        <w:div w:id="1161119878">
          <w:marLeft w:val="0"/>
          <w:marRight w:val="0"/>
          <w:marTop w:val="0"/>
          <w:marBottom w:val="0"/>
          <w:divBdr>
            <w:top w:val="none" w:sz="0" w:space="0" w:color="auto"/>
            <w:left w:val="none" w:sz="0" w:space="0" w:color="auto"/>
            <w:bottom w:val="none" w:sz="0" w:space="0" w:color="auto"/>
            <w:right w:val="none" w:sz="0" w:space="0" w:color="auto"/>
          </w:divBdr>
        </w:div>
      </w:divsChild>
    </w:div>
    <w:div w:id="2012023745">
      <w:bodyDiv w:val="1"/>
      <w:marLeft w:val="0"/>
      <w:marRight w:val="0"/>
      <w:marTop w:val="0"/>
      <w:marBottom w:val="0"/>
      <w:divBdr>
        <w:top w:val="none" w:sz="0" w:space="0" w:color="auto"/>
        <w:left w:val="none" w:sz="0" w:space="0" w:color="auto"/>
        <w:bottom w:val="none" w:sz="0" w:space="0" w:color="auto"/>
        <w:right w:val="none" w:sz="0" w:space="0" w:color="auto"/>
      </w:divBdr>
      <w:divsChild>
        <w:div w:id="1311667124">
          <w:marLeft w:val="0"/>
          <w:marRight w:val="0"/>
          <w:marTop w:val="0"/>
          <w:marBottom w:val="0"/>
          <w:divBdr>
            <w:top w:val="none" w:sz="0" w:space="0" w:color="auto"/>
            <w:left w:val="none" w:sz="0" w:space="0" w:color="auto"/>
            <w:bottom w:val="none" w:sz="0" w:space="0" w:color="auto"/>
            <w:right w:val="none" w:sz="0" w:space="0" w:color="auto"/>
          </w:divBdr>
        </w:div>
        <w:div w:id="369301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1537</Words>
  <Characters>8761</Characters>
  <Application>Microsoft Office Word</Application>
  <DocSecurity>0</DocSecurity>
  <Lines>73</Lines>
  <Paragraphs>20</Paragraphs>
  <ScaleCrop>false</ScaleCrop>
  <Company>Прокуратура РФ</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Коберник Виктория Игоревна</dc:creator>
  <cp:keywords/>
  <dc:description/>
  <cp:lastModifiedBy>Коберник Виктория Игоревна</cp:lastModifiedBy>
  <cp:revision>4</cp:revision>
  <dcterms:created xsi:type="dcterms:W3CDTF">2025-04-03T15:29:00Z</dcterms:created>
  <dcterms:modified xsi:type="dcterms:W3CDTF">2025-05-29T14:22:00Z</dcterms:modified>
</cp:coreProperties>
</file>