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3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«ЕЛИЗАВЕТИНСКОЕ СЕЛЬСКОЕ ПОСЕЛЕНИЕ»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 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5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7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 марта 2025          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№ 3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х. Обуховка</w:t>
      </w:r>
    </w:p>
    <w:p w14:paraId="09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B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внесении изменений</w:t>
      </w:r>
      <w:r>
        <w:rPr>
          <w:rStyle w:val="Style_3_ch"/>
          <w:rFonts w:ascii="Times New Roman" w:hAnsi="Times New Roman"/>
          <w:sz w:val="28"/>
        </w:rPr>
        <w:t xml:space="preserve"> в решение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Собрания депутатов </w:t>
      </w:r>
    </w:p>
    <w:p w14:paraId="0C000000">
      <w:pPr>
        <w:pStyle w:val="Style_2"/>
        <w:ind/>
        <w:jc w:val="center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Елизаветинского </w:t>
      </w:r>
      <w:r>
        <w:rPr>
          <w:rStyle w:val="Style_3_ch"/>
          <w:rFonts w:ascii="Times New Roman" w:hAnsi="Times New Roman"/>
          <w:sz w:val="28"/>
        </w:rPr>
        <w:t>сельского поселения</w:t>
      </w:r>
      <w:r>
        <w:rPr>
          <w:rStyle w:val="Style_3_ch"/>
          <w:rFonts w:ascii="Times New Roman" w:hAnsi="Times New Roman"/>
          <w:sz w:val="28"/>
        </w:rPr>
        <w:t xml:space="preserve"> от 29.12.2008</w:t>
      </w:r>
      <w:r>
        <w:rPr>
          <w:rStyle w:val="Style_3_ch"/>
          <w:rFonts w:ascii="Times New Roman" w:hAnsi="Times New Roman"/>
          <w:sz w:val="28"/>
        </w:rPr>
        <w:t xml:space="preserve"> № </w:t>
      </w:r>
      <w:r>
        <w:rPr>
          <w:rStyle w:val="Style_3_ch"/>
          <w:rFonts w:ascii="Times New Roman" w:hAnsi="Times New Roman"/>
          <w:sz w:val="28"/>
        </w:rPr>
        <w:t>5-а</w:t>
      </w:r>
    </w:p>
    <w:p w14:paraId="0D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утверждении Положения </w:t>
      </w:r>
      <w:r>
        <w:rPr>
          <w:rFonts w:ascii="Times New Roman" w:hAnsi="Times New Roman"/>
          <w:sz w:val="28"/>
        </w:rPr>
        <w:t>об оплате труда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осуществляющих</w:t>
      </w:r>
      <w:r>
        <w:rPr>
          <w:rFonts w:ascii="Times New Roman" w:hAnsi="Times New Roman"/>
          <w:sz w:val="28"/>
        </w:rPr>
        <w:t xml:space="preserve"> техническое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 и</w:t>
      </w:r>
    </w:p>
    <w:p w14:paraId="10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обслуживающего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персонала  Администрации</w:t>
      </w:r>
    </w:p>
    <w:p w14:paraId="11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»</w:t>
      </w:r>
    </w:p>
    <w:p w14:paraId="12000000">
      <w:pPr>
        <w:pStyle w:val="Style_2"/>
        <w:spacing w:line="276" w:lineRule="auto"/>
        <w:ind/>
        <w:rPr>
          <w:rFonts w:ascii="Times New Roman" w:hAnsi="Times New Roman"/>
          <w:sz w:val="28"/>
        </w:rPr>
      </w:pPr>
    </w:p>
    <w:p w14:paraId="13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Руководствуясь Трудовым кодексом Российской Федерации,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 Федеральным законом от 06.10.2003 № 131-ФЗ «Об общих принципах  организации местного самоуправления в  Российской Федерации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Областным законом Ростовской области от 18.04.2024 № 119 – ЗС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внесении изменений в Областной закон  «Об оплате труда работников, 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Областного закона Ростовской области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03.10.2008 № 92-ЗС «Об оплате труда работников, осуществляющих техн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ческое обеспечение деятельности государственных органов Ростовской обла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ти, и обслуживающего персонала государственных органов Ростовской обла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ти»</w:t>
      </w:r>
      <w:r>
        <w:rPr>
          <w:rFonts w:ascii="Times New Roman" w:hAnsi="Times New Roman"/>
          <w:sz w:val="28"/>
        </w:rPr>
        <w:t xml:space="preserve">, Собрание депутатов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</w:p>
    <w:p w14:paraId="14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РЕШИЛО:</w:t>
      </w:r>
    </w:p>
    <w:p w14:paraId="16000000">
      <w:pPr>
        <w:pStyle w:val="Style_2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pStyle w:val="Style_2"/>
        <w:numPr>
          <w:ilvl w:val="0"/>
          <w:numId w:val="1"/>
        </w:numPr>
        <w:spacing w:line="276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>Полож</w:t>
      </w:r>
      <w:r>
        <w:rPr>
          <w:rFonts w:ascii="Times New Roman" w:hAnsi="Times New Roman"/>
          <w:sz w:val="28"/>
        </w:rPr>
        <w:t>ение об оплате труда работников</w:t>
      </w:r>
      <w:r>
        <w:rPr>
          <w:rFonts w:ascii="Times New Roman" w:hAnsi="Times New Roman"/>
          <w:sz w:val="28"/>
        </w:rPr>
        <w:t xml:space="preserve">, осуществляющих техническое обеспечение деятельности Администрации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ского поселения и обслуживающего персонала  Администрации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</w:t>
      </w:r>
      <w:r>
        <w:rPr>
          <w:rFonts w:ascii="Times New Roman" w:hAnsi="Times New Roman"/>
          <w:sz w:val="28"/>
        </w:rPr>
        <w:t xml:space="preserve">ния, утвержденное решением Собрания депутатов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 от 29.12.2008 №5-а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утверждении Положения об оплате труда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осуществляющих техническое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 деятел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обслуживающего </w:t>
      </w:r>
      <w:r>
        <w:rPr>
          <w:rFonts w:ascii="Times New Roman" w:hAnsi="Times New Roman"/>
          <w:sz w:val="28"/>
        </w:rPr>
        <w:t xml:space="preserve"> персонала 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» изменения:</w:t>
      </w:r>
    </w:p>
    <w:p w14:paraId="18000000">
      <w:pPr>
        <w:pStyle w:val="Style_2"/>
        <w:numPr>
          <w:ilvl w:val="1"/>
          <w:numId w:val="1"/>
        </w:numPr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 статьи 5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Стимулирующие выплаты техническому перс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обслуживающему персоналу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9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1. Ежемесячная надбавка за интенсивность и высокие результаты работы устанавливается техническому персоналу к должностному окладу, обслуж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вающему персоналу - к ставке заработной платы в следующих размерах:</w:t>
      </w:r>
    </w:p>
    <w:p w14:paraId="1A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1) работникам из числа технического персонала:</w:t>
      </w:r>
    </w:p>
    <w:p w14:paraId="1B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начальнику с</w:t>
      </w:r>
      <w:r>
        <w:rPr>
          <w:rFonts w:ascii="Times New Roman" w:hAnsi="Times New Roman"/>
          <w:sz w:val="28"/>
        </w:rPr>
        <w:t>лужбы эксплуатации зданий - до 2</w:t>
      </w:r>
      <w:r>
        <w:rPr>
          <w:rFonts w:ascii="Times New Roman" w:hAnsi="Times New Roman"/>
          <w:sz w:val="28"/>
        </w:rPr>
        <w:t>20 процентов должностного оклада;</w:t>
      </w:r>
    </w:p>
    <w:p w14:paraId="1C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заместителю начальника службы эксплуатации зданий, заведующим: коп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ровально-множительным бюро, машинописным бю</w:t>
      </w:r>
      <w:r>
        <w:rPr>
          <w:rFonts w:ascii="Times New Roman" w:hAnsi="Times New Roman"/>
          <w:sz w:val="28"/>
        </w:rPr>
        <w:t xml:space="preserve">ро, </w:t>
      </w:r>
      <w:r>
        <w:rPr>
          <w:rFonts w:ascii="Times New Roman" w:hAnsi="Times New Roman"/>
          <w:sz w:val="28"/>
        </w:rPr>
        <w:t>инспек</w:t>
      </w:r>
      <w:r>
        <w:rPr>
          <w:rFonts w:ascii="Times New Roman" w:hAnsi="Times New Roman"/>
          <w:sz w:val="28"/>
        </w:rPr>
        <w:t>тору - до 2</w:t>
      </w:r>
      <w:r>
        <w:rPr>
          <w:rFonts w:ascii="Times New Roman" w:hAnsi="Times New Roman"/>
          <w:sz w:val="28"/>
        </w:rPr>
        <w:t>00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центов должностного оклада;</w:t>
      </w:r>
    </w:p>
    <w:p w14:paraId="1D000000">
      <w:pPr>
        <w:pStyle w:val="Style_4"/>
        <w:widowControl w:val="0"/>
        <w:ind/>
        <w:jc w:val="both"/>
      </w:pPr>
      <w:r>
        <w:t xml:space="preserve">  - заведующим: хозяйством, складом, старшему инспектору - до 250 процентов должностного оклада;</w:t>
      </w:r>
    </w:p>
    <w:p w14:paraId="1E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другим категориям работников из чис</w:t>
      </w:r>
      <w:r>
        <w:rPr>
          <w:rFonts w:ascii="Times New Roman" w:hAnsi="Times New Roman"/>
          <w:sz w:val="28"/>
        </w:rPr>
        <w:t>ла технического персонала - от 100 до 15</w:t>
      </w:r>
      <w:r>
        <w:rPr>
          <w:rFonts w:ascii="Times New Roman" w:hAnsi="Times New Roman"/>
          <w:sz w:val="28"/>
        </w:rPr>
        <w:t>0 процентов должностного оклада;</w:t>
      </w:r>
    </w:p>
    <w:p w14:paraId="1F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работникам из числа обслуживающего персонала - до 50 процентов ставки заработной платы.</w:t>
      </w:r>
    </w:p>
    <w:p w14:paraId="20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Ежемесячная надбавка к должностному окладу технического персонала, к ставке заработной платы обслуживающего персонала за интенсивность и выс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кие результаты работы выплачивается за фактически отработанное время</w:t>
      </w:r>
      <w:r>
        <w:rPr>
          <w:rFonts w:ascii="Times New Roman" w:hAnsi="Times New Roman"/>
          <w:sz w:val="28"/>
        </w:rPr>
        <w:t>»;</w:t>
      </w:r>
    </w:p>
    <w:p w14:paraId="21000000">
      <w:pPr>
        <w:pStyle w:val="Style_2"/>
        <w:numPr>
          <w:ilvl w:val="1"/>
          <w:numId w:val="1"/>
        </w:numPr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 статьи  7 «</w:t>
      </w:r>
      <w:r>
        <w:rPr>
          <w:rFonts w:ascii="Times New Roman" w:hAnsi="Times New Roman"/>
          <w:sz w:val="28"/>
        </w:rPr>
        <w:t>Финансирование расходов на оплату труда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нического персонала и обслуживающего персонала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изложить в следующей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дакции:</w:t>
      </w:r>
    </w:p>
    <w:p w14:paraId="22000000">
      <w:pPr>
        <w:pStyle w:val="Style_2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«2</w:t>
      </w:r>
      <w:r>
        <w:rPr>
          <w:rFonts w:ascii="Times New Roman" w:hAnsi="Times New Roman"/>
          <w:sz w:val="28"/>
        </w:rPr>
        <w:t>. При утверждении фондов оплаты труда сверх суммы средств, направля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мых для выплаты должностных окладов техническому персоналу, предусма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риваются следующие средства на выплату (в расчете на год):</w:t>
      </w:r>
    </w:p>
    <w:p w14:paraId="23000000">
      <w:pPr>
        <w:pStyle w:val="Style_4"/>
        <w:ind w:firstLine="709" w:left="0"/>
        <w:jc w:val="both"/>
      </w:pPr>
      <w:r>
        <w:t>1) ежемесячной надбавки к должностному окладу за интенсивность и в</w:t>
      </w:r>
      <w:r>
        <w:t>ы</w:t>
      </w:r>
      <w:r>
        <w:t>сокие результаты  работы - в размере</w:t>
      </w:r>
      <w:r>
        <w:t xml:space="preserve"> </w:t>
      </w:r>
      <w:r>
        <w:t>18 должностных окладов,</w:t>
      </w:r>
      <w:r>
        <w:t xml:space="preserve"> </w:t>
      </w:r>
      <w:r>
        <w:t>для работников, указанных в абзаце третьем</w:t>
      </w:r>
      <w:r>
        <w:t xml:space="preserve"> </w:t>
      </w:r>
      <w:r>
        <w:t xml:space="preserve">подпункта 1 пункта </w:t>
      </w:r>
      <w:r>
        <w:t xml:space="preserve">1 раздела </w:t>
      </w:r>
      <w:r>
        <w:t>4</w:t>
      </w:r>
      <w:r>
        <w:t xml:space="preserve"> настоящего реш</w:t>
      </w:r>
      <w:r>
        <w:t>е</w:t>
      </w:r>
      <w:r>
        <w:t>ния -</w:t>
      </w:r>
      <w:r>
        <w:t xml:space="preserve"> </w:t>
      </w:r>
      <w:r>
        <w:t>в размере 24 должностных окладов, для работников, указанных в абзац</w:t>
      </w:r>
      <w:r>
        <w:t xml:space="preserve">е </w:t>
      </w:r>
      <w:r>
        <w:t>втором подпункта 1</w:t>
      </w:r>
      <w:r>
        <w:t xml:space="preserve"> пункта 1 </w:t>
      </w:r>
      <w:r>
        <w:t xml:space="preserve">раздела </w:t>
      </w:r>
      <w:r>
        <w:t>4</w:t>
      </w:r>
      <w:r>
        <w:t xml:space="preserve"> настоящего</w:t>
      </w:r>
      <w:r>
        <w:t xml:space="preserve"> </w:t>
      </w:r>
      <w:r>
        <w:t>решения - в размере 26,4 должностного оклада, для работников указанных в абзаце</w:t>
      </w:r>
      <w:r>
        <w:t xml:space="preserve"> </w:t>
      </w:r>
      <w:r>
        <w:t>четвертом</w:t>
      </w:r>
      <w:r>
        <w:t xml:space="preserve"> подпункта 1</w:t>
      </w:r>
      <w:r>
        <w:t xml:space="preserve"> пункта </w:t>
      </w:r>
      <w:r>
        <w:t xml:space="preserve">1 раздела </w:t>
      </w:r>
      <w:r>
        <w:t>4</w:t>
      </w:r>
      <w:r>
        <w:t xml:space="preserve"> настоящего  решения - в размере 30 должностных окл</w:t>
      </w:r>
      <w:r>
        <w:t>а</w:t>
      </w:r>
      <w:r>
        <w:t>дов;</w:t>
      </w:r>
    </w:p>
    <w:p w14:paraId="24000000">
      <w:pPr>
        <w:pStyle w:val="Style_4"/>
        <w:ind w:firstLine="709" w:left="0"/>
        <w:jc w:val="both"/>
      </w:pPr>
      <w:r>
        <w:t xml:space="preserve">2) ежемесячной надбавки к должностному окладу за выслугу лет – </w:t>
      </w:r>
      <w:r>
        <w:br/>
      </w:r>
      <w:r>
        <w:t>в размере 3 должностных окладов;</w:t>
      </w:r>
    </w:p>
    <w:p w14:paraId="25000000">
      <w:pPr>
        <w:pStyle w:val="Style_4"/>
        <w:ind w:firstLine="709" w:left="0"/>
        <w:jc w:val="both"/>
      </w:pPr>
      <w:r>
        <w:t xml:space="preserve">3) премии по результатам работы за месяц – </w:t>
      </w:r>
      <w:r>
        <w:t xml:space="preserve">в </w:t>
      </w:r>
      <w:r>
        <w:t>размере 3 должностных о</w:t>
      </w:r>
      <w:r>
        <w:t>к</w:t>
      </w:r>
      <w:r>
        <w:t>ладов, для работников, у</w:t>
      </w:r>
      <w:r>
        <w:t xml:space="preserve">казанных в подпункте 1 пункта </w:t>
      </w:r>
      <w:r>
        <w:t>3</w:t>
      </w:r>
      <w:r>
        <w:t xml:space="preserve"> </w:t>
      </w:r>
      <w:r>
        <w:t xml:space="preserve">раздела </w:t>
      </w:r>
      <w:r>
        <w:t>4</w:t>
      </w:r>
      <w:r>
        <w:t xml:space="preserve"> настоящ</w:t>
      </w:r>
      <w:r>
        <w:t>е</w:t>
      </w:r>
      <w:r>
        <w:t>го решения -</w:t>
      </w:r>
      <w:r>
        <w:t xml:space="preserve"> в размере 6 должностных окладов;</w:t>
      </w:r>
    </w:p>
    <w:p w14:paraId="26000000">
      <w:pPr>
        <w:pStyle w:val="Style_4"/>
        <w:widowControl w:val="0"/>
        <w:ind w:firstLine="709" w:left="0"/>
        <w:jc w:val="both"/>
      </w:pPr>
      <w:r>
        <w:t>4) материальной помощи – в размере 2 должностных окладов;</w:t>
      </w:r>
    </w:p>
    <w:p w14:paraId="27000000">
      <w:pPr>
        <w:pStyle w:val="Style_4"/>
        <w:widowControl w:val="0"/>
        <w:ind w:firstLine="709" w:left="0"/>
        <w:jc w:val="both"/>
      </w:pPr>
      <w:r>
        <w:t>5) ежемесячная доплата к должностному окладу за работу в ночное время выплачивается в пределах утвержденного фонда оплаты труда</w:t>
      </w:r>
      <w:r>
        <w:t>.».</w:t>
      </w:r>
    </w:p>
    <w:p w14:paraId="28000000">
      <w:pPr>
        <w:pStyle w:val="Style_2"/>
        <w:spacing w:line="276" w:lineRule="auto"/>
        <w:ind w:firstLine="0" w:left="1128"/>
        <w:jc w:val="both"/>
        <w:rPr>
          <w:rFonts w:ascii="Times New Roman" w:hAnsi="Times New Roman"/>
          <w:sz w:val="28"/>
        </w:rPr>
      </w:pPr>
    </w:p>
    <w:p w14:paraId="29000000">
      <w:pPr>
        <w:pStyle w:val="Style_4"/>
        <w:numPr>
          <w:ilvl w:val="0"/>
          <w:numId w:val="1"/>
        </w:numPr>
        <w:ind/>
        <w:jc w:val="both"/>
      </w:pPr>
      <w:r>
        <w:t>Приложение 1изложить в следующей редакции:</w:t>
      </w:r>
    </w:p>
    <w:p w14:paraId="2A000000">
      <w:pPr>
        <w:pStyle w:val="Style_2"/>
        <w:spacing w:line="276" w:lineRule="auto"/>
        <w:ind w:firstLine="0" w:left="1068"/>
        <w:jc w:val="center"/>
        <w:rPr>
          <w:rFonts w:ascii="Times New Roman" w:hAnsi="Times New Roman"/>
          <w:sz w:val="28"/>
        </w:rPr>
      </w:pPr>
    </w:p>
    <w:p w14:paraId="2B000000">
      <w:pPr>
        <w:pStyle w:val="Style_2"/>
        <w:spacing w:line="276" w:lineRule="auto"/>
        <w:ind w:firstLine="0" w:left="106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</w:p>
    <w:p w14:paraId="2C000000">
      <w:pPr>
        <w:pStyle w:val="Style_2"/>
        <w:spacing w:line="276" w:lineRule="auto"/>
        <w:ind w:firstLine="0" w:left="106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к Положению об оплате труда работников</w:t>
      </w:r>
    </w:p>
    <w:p w14:paraId="2D000000">
      <w:pPr>
        <w:pStyle w:val="Style_2"/>
        <w:spacing w:line="276" w:lineRule="auto"/>
        <w:ind w:firstLine="0" w:left="106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осуществляющих техническое</w:t>
      </w:r>
    </w:p>
    <w:p w14:paraId="2E000000">
      <w:pPr>
        <w:pStyle w:val="Style_2"/>
        <w:spacing w:line="276" w:lineRule="auto"/>
        <w:ind w:firstLine="0" w:left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деятельности</w:t>
      </w:r>
    </w:p>
    <w:p w14:paraId="2F000000">
      <w:pPr>
        <w:pStyle w:val="Style_2"/>
        <w:spacing w:line="276" w:lineRule="auto"/>
        <w:ind w:firstLine="0" w:left="106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Елизаветинского</w:t>
      </w:r>
    </w:p>
    <w:p w14:paraId="30000000">
      <w:pPr>
        <w:pStyle w:val="Style_2"/>
        <w:spacing w:line="276" w:lineRule="auto"/>
        <w:ind w:firstLine="0" w:left="106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сельского поселения,</w:t>
      </w:r>
    </w:p>
    <w:p w14:paraId="31000000">
      <w:pPr>
        <w:pStyle w:val="Style_2"/>
        <w:spacing w:line="276" w:lineRule="auto"/>
        <w:ind w:firstLine="0" w:left="106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обслуживающего персонала</w:t>
      </w:r>
    </w:p>
    <w:p w14:paraId="32000000">
      <w:pPr>
        <w:pStyle w:val="Style_2"/>
        <w:spacing w:line="276" w:lineRule="auto"/>
        <w:ind w:firstLine="0" w:left="106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Елизаветинского</w:t>
      </w:r>
    </w:p>
    <w:p w14:paraId="33000000">
      <w:pPr>
        <w:pStyle w:val="Style_2"/>
        <w:spacing w:line="276" w:lineRule="auto"/>
        <w:ind w:firstLine="0" w:left="106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</w:t>
      </w:r>
      <w:r>
        <w:rPr>
          <w:rFonts w:ascii="Times New Roman" w:hAnsi="Times New Roman"/>
          <w:sz w:val="24"/>
        </w:rPr>
        <w:t>поселения</w:t>
      </w:r>
    </w:p>
    <w:p w14:paraId="34000000">
      <w:pPr>
        <w:pStyle w:val="Style_2"/>
        <w:spacing w:line="276" w:lineRule="auto"/>
        <w:ind w:firstLine="0" w:left="1068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</w:p>
    <w:p w14:paraId="35000000">
      <w:pPr>
        <w:pStyle w:val="Style_2"/>
        <w:spacing w:line="276" w:lineRule="auto"/>
        <w:ind w:firstLine="0" w:left="1068"/>
        <w:rPr>
          <w:rFonts w:ascii="Times New Roman" w:hAnsi="Times New Roman"/>
          <w:b w:val="1"/>
          <w:sz w:val="28"/>
        </w:rPr>
      </w:pPr>
    </w:p>
    <w:p w14:paraId="36000000">
      <w:pPr>
        <w:pStyle w:val="Style_2"/>
        <w:spacing w:line="276" w:lineRule="auto"/>
        <w:ind w:firstLine="0" w:left="1068"/>
        <w:rPr>
          <w:rFonts w:ascii="Times New Roman" w:hAnsi="Times New Roman"/>
          <w:b w:val="1"/>
          <w:sz w:val="28"/>
        </w:rPr>
      </w:pPr>
    </w:p>
    <w:p w14:paraId="37000000">
      <w:pPr>
        <w:pStyle w:val="Style_2"/>
        <w:spacing w:line="276" w:lineRule="auto"/>
        <w:ind w:firstLine="0" w:left="10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ДОЛЖНОСТНЫХ ОКЛАДОВ РАБОТНИКОВ,</w:t>
      </w:r>
    </w:p>
    <w:p w14:paraId="38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ЗАНИМАЮЩИХ В МУНИЦИПАЛЬНЫХ ОРГАНАХ АДМИНИС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РАЦИИ</w:t>
      </w:r>
    </w:p>
    <w:p w14:paraId="39000000">
      <w:pPr>
        <w:pStyle w:val="Style_2"/>
        <w:spacing w:line="276" w:lineRule="auto"/>
        <w:ind w:firstLine="0" w:left="10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  ДОЛ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НОСТИ,</w:t>
      </w:r>
    </w:p>
    <w:p w14:paraId="3A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ОТНЕСЕННЫЕ К Д</w:t>
      </w:r>
      <w:r>
        <w:rPr>
          <w:rFonts w:ascii="Times New Roman" w:hAnsi="Times New Roman"/>
          <w:sz w:val="28"/>
        </w:rPr>
        <w:t>ОЛЖНОСТЯМ МУНИЦИПАЛЬНОЙ СЛУ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БЫ</w:t>
      </w:r>
      <w:r>
        <w:rPr>
          <w:rFonts w:ascii="Times New Roman" w:hAnsi="Times New Roman"/>
          <w:sz w:val="28"/>
        </w:rPr>
        <w:t>,</w:t>
      </w:r>
    </w:p>
    <w:p w14:paraId="3B000000">
      <w:pPr>
        <w:pStyle w:val="Style_2"/>
        <w:spacing w:line="276" w:lineRule="auto"/>
        <w:ind w:firstLine="0" w:left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  </w:t>
      </w:r>
      <w:r>
        <w:rPr>
          <w:rFonts w:ascii="Times New Roman" w:hAnsi="Times New Roman"/>
          <w:sz w:val="28"/>
        </w:rPr>
        <w:t>ОСУЩЕСТВЛЯЮЩИХ</w:t>
      </w:r>
      <w:r>
        <w:rPr>
          <w:rFonts w:ascii="Times New Roman" w:hAnsi="Times New Roman"/>
          <w:sz w:val="28"/>
        </w:rPr>
        <w:t xml:space="preserve"> ТЕХНИЧЕСКОЕ ОБЕСПЕЧЕНИЕ</w:t>
      </w:r>
    </w:p>
    <w:p w14:paraId="3C000000">
      <w:pPr>
        <w:pStyle w:val="Style_2"/>
        <w:spacing w:line="276" w:lineRule="auto"/>
        <w:ind w:firstLine="0" w:left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 АДМИНИСТРАЦИИ</w:t>
      </w:r>
    </w:p>
    <w:p w14:paraId="3D000000">
      <w:pPr>
        <w:pStyle w:val="Style_2"/>
        <w:spacing w:line="276" w:lineRule="auto"/>
        <w:ind w:firstLine="0" w:left="10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</w:t>
      </w:r>
    </w:p>
    <w:p w14:paraId="3E000000">
      <w:pPr>
        <w:pStyle w:val="Style_2"/>
        <w:spacing w:line="276" w:lineRule="auto"/>
        <w:ind w:firstLine="0" w:left="1068"/>
        <w:rPr>
          <w:rFonts w:ascii="Times New Roman" w:hAnsi="Times New Roman"/>
          <w:sz w:val="28"/>
        </w:rPr>
      </w:pPr>
    </w:p>
    <w:tbl>
      <w:tblPr>
        <w:tblStyle w:val="Style_5"/>
        <w:tblInd w:type="dxa" w:w="70"/>
        <w:tblLayout w:type="fixed"/>
        <w:tblCellMar>
          <w:left w:type="dxa" w:w="70"/>
          <w:right w:type="dxa" w:w="70"/>
        </w:tblCellMar>
      </w:tblPr>
      <w:tblGrid>
        <w:gridCol w:w="540"/>
        <w:gridCol w:w="6548"/>
        <w:gridCol w:w="2430"/>
      </w:tblGrid>
      <w:tr>
        <w:trPr>
          <w:trHeight w:hRule="atLeast" w:val="36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F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6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0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должностей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1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Должностной </w:t>
            </w:r>
          </w:p>
          <w:p w14:paraId="42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(рублей в месяц)</w:t>
            </w: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3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4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и</w:t>
            </w:r>
            <w:r>
              <w:rPr>
                <w:rFonts w:ascii="Times New Roman" w:hAnsi="Times New Roman"/>
                <w:sz w:val="28"/>
              </w:rPr>
              <w:t xml:space="preserve">нспектор                                         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5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9956</w:t>
            </w: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6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type="dxa" w:w="6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7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Инспектор                                         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8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7950</w:t>
            </w:r>
          </w:p>
        </w:tc>
      </w:tr>
    </w:tbl>
    <w:p w14:paraId="49000000">
      <w:pPr>
        <w:pStyle w:val="Style_4"/>
        <w:ind w:firstLine="0" w:left="1068"/>
        <w:jc w:val="both"/>
      </w:pPr>
    </w:p>
    <w:p w14:paraId="4A000000">
      <w:pPr>
        <w:pStyle w:val="Style_4"/>
        <w:numPr>
          <w:ilvl w:val="0"/>
          <w:numId w:val="1"/>
        </w:numPr>
        <w:ind/>
        <w:jc w:val="both"/>
      </w:pPr>
      <w:r>
        <w:t>Приложение 2 изложить в следующей редакции:</w:t>
      </w:r>
    </w:p>
    <w:p w14:paraId="4B000000">
      <w:pPr>
        <w:pStyle w:val="Style_4"/>
        <w:ind w:firstLine="709" w:left="0"/>
        <w:jc w:val="both"/>
      </w:pPr>
    </w:p>
    <w:p w14:paraId="4C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2 </w:t>
      </w:r>
    </w:p>
    <w:p w14:paraId="4D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к Положению об оплате труда работников</w:t>
      </w:r>
    </w:p>
    <w:p w14:paraId="4E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осуществляющих техническое</w:t>
      </w:r>
    </w:p>
    <w:p w14:paraId="4F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деятельности</w:t>
      </w:r>
    </w:p>
    <w:p w14:paraId="50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Елизаветинского</w:t>
      </w:r>
    </w:p>
    <w:p w14:paraId="51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сельского поселения,</w:t>
      </w:r>
    </w:p>
    <w:p w14:paraId="52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обслуживающего персонала</w:t>
      </w:r>
    </w:p>
    <w:p w14:paraId="53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Елизаветинского</w:t>
      </w:r>
    </w:p>
    <w:p w14:paraId="54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</w:t>
      </w:r>
    </w:p>
    <w:p w14:paraId="55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56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СТАВОК ЗАРАБОТНОЙ ПЛАТЫ РАБОТНИКОВ,</w:t>
      </w:r>
    </w:p>
    <w:p w14:paraId="57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ОСУЩЕСТВЛЯЮЩИХ ОХРАНУ И (ИЛИ) ОБСЛУЖИВАНИЕ ЗДАНИЙ</w:t>
      </w:r>
    </w:p>
    <w:p w14:paraId="58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(ПОМЕЩЕНИЙ), ВОДИТЕЛЕЙ ЛЕГКОВЫХ АВТОМОБИЛЕЙ, </w:t>
      </w:r>
    </w:p>
    <w:p w14:paraId="59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ВКЛЮЧЕННЫХ</w:t>
      </w:r>
      <w:r>
        <w:rPr>
          <w:rFonts w:ascii="Times New Roman" w:hAnsi="Times New Roman"/>
          <w:sz w:val="28"/>
        </w:rPr>
        <w:t xml:space="preserve"> В ШТАТНЫЕ РАСПИСАНИЯ АДМИНИСТРАЦИИ </w:t>
      </w:r>
    </w:p>
    <w:p w14:paraId="5A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</w:t>
      </w:r>
    </w:p>
    <w:p w14:paraId="5B000000">
      <w:pPr>
        <w:pStyle w:val="Style_2"/>
        <w:spacing w:line="276" w:lineRule="auto"/>
        <w:ind/>
        <w:rPr>
          <w:rFonts w:ascii="Times New Roman" w:hAnsi="Times New Roman"/>
          <w:sz w:val="28"/>
        </w:rPr>
      </w:pPr>
    </w:p>
    <w:tbl>
      <w:tblPr>
        <w:tblStyle w:val="Style_5"/>
        <w:tblInd w:type="dxa" w:w="70"/>
        <w:tblLayout w:type="fixed"/>
        <w:tblCellMar>
          <w:left w:type="dxa" w:w="70"/>
          <w:right w:type="dxa" w:w="70"/>
        </w:tblCellMar>
      </w:tblPr>
      <w:tblGrid>
        <w:gridCol w:w="2295"/>
        <w:gridCol w:w="675"/>
        <w:gridCol w:w="675"/>
        <w:gridCol w:w="675"/>
        <w:gridCol w:w="675"/>
        <w:gridCol w:w="675"/>
        <w:gridCol w:w="675"/>
        <w:gridCol w:w="675"/>
        <w:gridCol w:w="675"/>
        <w:gridCol w:w="1519"/>
      </w:tblGrid>
      <w:tr>
        <w:trPr>
          <w:trHeight w:hRule="atLeast" w:val="360"/>
        </w:trPr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C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Квалификационные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разряды         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D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E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F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0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1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2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3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4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5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Высококв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</w:t>
            </w:r>
            <w:r>
              <w:rPr>
                <w:rFonts w:ascii="Times New Roman" w:hAnsi="Times New Roman"/>
                <w:sz w:val="24"/>
              </w:rPr>
              <w:t>ци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ванные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бочие</w:t>
            </w:r>
          </w:p>
        </w:tc>
      </w:tr>
      <w:tr>
        <w:trPr>
          <w:trHeight w:hRule="atLeast" w:val="480"/>
        </w:trPr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6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ставки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заработной платы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(рублей в месяц)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7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8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5088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9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5386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A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5718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B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6048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C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6396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D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6762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E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7160</w:t>
            </w:r>
          </w:p>
        </w:tc>
        <w:tc>
          <w:tcPr>
            <w:tcW w:type="dxa" w:w="1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F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7676</w:t>
            </w:r>
          </w:p>
        </w:tc>
      </w:tr>
    </w:tbl>
    <w:p w14:paraId="70000000">
      <w:pPr>
        <w:pStyle w:val="Style_2"/>
        <w:spacing w:line="276" w:lineRule="auto"/>
        <w:ind/>
        <w:rPr>
          <w:rFonts w:ascii="Times New Roman" w:hAnsi="Times New Roman"/>
          <w:sz w:val="28"/>
        </w:rPr>
      </w:pPr>
    </w:p>
    <w:p w14:paraId="71000000">
      <w:pPr>
        <w:pStyle w:val="Style_2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Примечание:</w:t>
      </w:r>
    </w:p>
    <w:p w14:paraId="72000000">
      <w:pPr>
        <w:pStyle w:val="Style_2"/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Размеры </w:t>
      </w:r>
      <w:r>
        <w:rPr>
          <w:rFonts w:ascii="Times New Roman" w:hAnsi="Times New Roman"/>
          <w:sz w:val="28"/>
        </w:rPr>
        <w:t>ставок заработной платы работников, осуществляющих профе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сиональную деятельность по профессиям рабочих устанавливаются</w:t>
      </w:r>
      <w:r>
        <w:rPr>
          <w:rFonts w:ascii="Times New Roman" w:hAnsi="Times New Roman"/>
          <w:sz w:val="28"/>
        </w:rPr>
        <w:t xml:space="preserve"> в завис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мости от присвоенных им квалификационных разрядов в соответствии с Ед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ным тарифно-квалификационным справочником работ и профессий рабочих.</w:t>
      </w:r>
    </w:p>
    <w:p w14:paraId="73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высококвалифицированным рабочим относятся рабочие, имеющие высший разряд согласно Единому тарифно-квалификационному справочнику (ЕТКС) и выполняющие работы, предусмотренные этим разрядом, или высшей сложн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сти. Ставки заработной платы могут устанавливаться высококвалифицирова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14:paraId="74000000">
      <w:pPr>
        <w:pStyle w:val="Style_4"/>
        <w:ind w:firstLine="709" w:left="0"/>
        <w:jc w:val="both"/>
      </w:pPr>
    </w:p>
    <w:p w14:paraId="75000000">
      <w:pPr>
        <w:pStyle w:val="Style_4"/>
        <w:ind w:firstLine="709" w:left="0"/>
        <w:jc w:val="both"/>
      </w:pPr>
      <w:r>
        <w:t>4</w:t>
      </w:r>
      <w:r>
        <w:t xml:space="preserve">. </w:t>
      </w:r>
      <w:r>
        <w:t>Настоящее</w:t>
      </w:r>
      <w:r>
        <w:t xml:space="preserve"> решение вступает в силу со дня его официального опубл</w:t>
      </w:r>
      <w:r>
        <w:t>и</w:t>
      </w:r>
      <w:r>
        <w:t>кования и распространяется на правоотношения, возникшие</w:t>
      </w:r>
      <w:r>
        <w:br/>
      </w:r>
      <w:r>
        <w:t>с 01.01.2025.</w:t>
      </w:r>
    </w:p>
    <w:p w14:paraId="7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решения возложить на главу   Администрации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 Тимофеева В.Н.</w:t>
      </w:r>
    </w:p>
    <w:p w14:paraId="77000000">
      <w:pPr>
        <w:pStyle w:val="Style_2"/>
        <w:rPr>
          <w:rFonts w:ascii="Times New Roman" w:hAnsi="Times New Roman"/>
          <w:spacing w:val="-16"/>
          <w:sz w:val="28"/>
        </w:rPr>
      </w:pPr>
    </w:p>
    <w:p w14:paraId="78000000">
      <w:pPr>
        <w:pStyle w:val="Style_2"/>
        <w:rPr>
          <w:rFonts w:ascii="Times New Roman" w:hAnsi="Times New Roman"/>
          <w:sz w:val="28"/>
        </w:rPr>
      </w:pPr>
    </w:p>
    <w:p w14:paraId="79000000">
      <w:pPr>
        <w:pStyle w:val="Style_2"/>
        <w:rPr>
          <w:rFonts w:ascii="Times New Roman" w:hAnsi="Times New Roman"/>
          <w:sz w:val="28"/>
        </w:rPr>
      </w:pPr>
    </w:p>
    <w:p w14:paraId="7A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- </w:t>
      </w:r>
    </w:p>
    <w:p w14:paraId="7B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Н.А. Волкова</w:t>
      </w:r>
    </w:p>
    <w:p w14:paraId="7C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7D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7E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</w:p>
    <w:p w14:paraId="7F000000">
      <w:pPr>
        <w:pStyle w:val="Style_2"/>
        <w:spacing w:line="276" w:lineRule="auto"/>
        <w:ind/>
        <w:rPr>
          <w:rFonts w:ascii="Times New Roman" w:hAnsi="Times New Roman"/>
          <w:sz w:val="28"/>
        </w:rPr>
      </w:pPr>
    </w:p>
    <w:sectPr>
      <w:footerReference r:id="rId1" w:type="default"/>
      <w:pgSz w:h="16838" w:orient="portrait" w:w="11906"/>
      <w:pgMar w:bottom="709" w:footer="708" w:gutter="0" w:header="708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decimal"/>
      <w:lvlText w:val="%1.%2"/>
      <w:lvlJc w:val="left"/>
      <w:pPr>
        <w:ind w:hanging="420" w:left="1128"/>
      </w:pPr>
    </w:lvl>
    <w:lvl w:ilvl="2">
      <w:start w:val="1"/>
      <w:numFmt w:val="decimal"/>
      <w:lvlText w:val="%1.%2.%3"/>
      <w:lvlJc w:val="left"/>
      <w:pPr>
        <w:ind w:hanging="720" w:left="1428"/>
      </w:pPr>
    </w:lvl>
    <w:lvl w:ilvl="3">
      <w:start w:val="1"/>
      <w:numFmt w:val="decimal"/>
      <w:lvlText w:val="%1.%2.%3.%4"/>
      <w:lvlJc w:val="left"/>
      <w:pPr>
        <w:ind w:hanging="1080" w:left="1788"/>
      </w:pPr>
    </w:lvl>
    <w:lvl w:ilvl="4">
      <w:start w:val="1"/>
      <w:numFmt w:val="decimal"/>
      <w:lvlText w:val="%1.%2.%3.%4.%5"/>
      <w:lvlJc w:val="left"/>
      <w:pPr>
        <w:ind w:hanging="1080" w:left="1788"/>
      </w:pPr>
    </w:lvl>
    <w:lvl w:ilvl="5">
      <w:start w:val="1"/>
      <w:numFmt w:val="decimal"/>
      <w:lvlText w:val="%1.%2.%3.%4.%5.%6"/>
      <w:lvlJc w:val="left"/>
      <w:pPr>
        <w:ind w:hanging="1440" w:left="2148"/>
      </w:pPr>
    </w:lvl>
    <w:lvl w:ilvl="6">
      <w:start w:val="1"/>
      <w:numFmt w:val="decimal"/>
      <w:lvlText w:val="%1.%2.%3.%4.%5.%6.%7"/>
      <w:lvlJc w:val="left"/>
      <w:pPr>
        <w:ind w:hanging="1440" w:left="2148"/>
      </w:pPr>
    </w:lvl>
    <w:lvl w:ilvl="7">
      <w:start w:val="1"/>
      <w:numFmt w:val="decimal"/>
      <w:lvlText w:val="%1.%2.%3.%4.%5.%6.%7.%8"/>
      <w:lvlJc w:val="left"/>
      <w:pPr>
        <w:ind w:hanging="1800" w:left="2508"/>
      </w:pPr>
    </w:lvl>
    <w:lvl w:ilvl="8">
      <w:start w:val="1"/>
      <w:numFmt w:val="decimal"/>
      <w:lvlText w:val="%1.%2.%3.%4.%5.%6.%7.%8.%9"/>
      <w:lvlJc w:val="left"/>
      <w:pPr>
        <w:ind w:hanging="2160" w:left="286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er"/>
    <w:basedOn w:val="Style_7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7_ch"/>
    <w:link w:val="Style_12"/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7_ch"/>
    <w:link w:val="Style_1"/>
  </w:style>
  <w:style w:styleId="Style_14" w:type="paragraph">
    <w:name w:val="Normal (Web)"/>
    <w:basedOn w:val="Style_7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7_ch"/>
    <w:link w:val="Style_14"/>
    <w:rPr>
      <w:rFonts w:ascii="Times New Roman" w:hAnsi="Times New Roman"/>
      <w:sz w:val="24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page number"/>
    <w:basedOn w:val="Style_17"/>
    <w:link w:val="Style_16_ch"/>
  </w:style>
  <w:style w:styleId="Style_16_ch" w:type="character">
    <w:name w:val="page number"/>
    <w:basedOn w:val="Style_17_ch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" w:type="paragraph">
    <w:name w:val="Absatz-Standardschriftart"/>
    <w:link w:val="Style_3_ch"/>
  </w:style>
  <w:style w:styleId="Style_3_ch" w:type="character">
    <w:name w:val="Absatz-Standardschriftart"/>
    <w:link w:val="Style_3"/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7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ConsPlusNonformat"/>
    <w:link w:val="Style_24_ch"/>
    <w:pPr>
      <w:widowControl w:val="0"/>
      <w:ind/>
    </w:pPr>
    <w:rPr>
      <w:rFonts w:ascii="Courier New" w:hAnsi="Courier New"/>
    </w:rPr>
  </w:style>
  <w:style w:styleId="Style_24_ch" w:type="character">
    <w:name w:val="ConsPlusNonformat"/>
    <w:link w:val="Style_24"/>
    <w:rPr>
      <w:rFonts w:ascii="Courier New" w:hAnsi="Courier New"/>
    </w:rPr>
  </w:style>
  <w:style w:styleId="Style_25" w:type="paragraph">
    <w:name w:val="toc 9"/>
    <w:next w:val="Style_7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ConsPlusTitle"/>
    <w:link w:val="Style_26_ch"/>
    <w:pPr>
      <w:widowControl w:val="0"/>
      <w:ind/>
    </w:pPr>
    <w:rPr>
      <w:rFonts w:ascii="Arial" w:hAnsi="Arial"/>
      <w:b w:val="1"/>
    </w:rPr>
  </w:style>
  <w:style w:styleId="Style_26_ch" w:type="character">
    <w:name w:val="ConsPlusTitle"/>
    <w:link w:val="Style_26"/>
    <w:rPr>
      <w:rFonts w:ascii="Arial" w:hAnsi="Arial"/>
      <w:b w:val="1"/>
    </w:rPr>
  </w:style>
  <w:style w:styleId="Style_27" w:type="paragraph">
    <w:name w:val="toc 8"/>
    <w:next w:val="Style_7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List Paragraph"/>
    <w:basedOn w:val="Style_7"/>
    <w:link w:val="Style_28_ch"/>
    <w:pPr>
      <w:ind w:firstLine="0" w:left="720"/>
      <w:contextualSpacing w:val="1"/>
    </w:pPr>
  </w:style>
  <w:style w:styleId="Style_28_ch" w:type="character">
    <w:name w:val="List Paragraph"/>
    <w:basedOn w:val="Style_7_ch"/>
    <w:link w:val="Style_28"/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29" w:type="paragraph">
    <w:name w:val="toc 5"/>
    <w:next w:val="Style_7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WW-Absatz-Standardschriftart1111"/>
    <w:link w:val="Style_30_ch"/>
  </w:style>
  <w:style w:styleId="Style_30_ch" w:type="character">
    <w:name w:val="WW-Absatz-Standardschriftart1111"/>
    <w:link w:val="Style_30"/>
  </w:style>
  <w:style w:styleId="Style_31" w:type="paragraph">
    <w:name w:val="Subtitle"/>
    <w:next w:val="Style_7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4" w:type="paragraph">
    <w:name w:val="Title"/>
    <w:basedOn w:val="Style_7"/>
    <w:link w:val="Style_4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4_ch" w:type="character">
    <w:name w:val="Title"/>
    <w:basedOn w:val="Style_7_ch"/>
    <w:link w:val="Style_4"/>
    <w:rPr>
      <w:rFonts w:ascii="Times New Roman" w:hAnsi="Times New Roman"/>
      <w:sz w:val="28"/>
    </w:rPr>
  </w:style>
  <w:style w:styleId="Style_32" w:type="paragraph">
    <w:name w:val="heading 4"/>
    <w:next w:val="Style_7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7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2025-03-14T10:20:03Z</dcterms:modified>
</cp:coreProperties>
</file>